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2D" w:rsidRDefault="002A772D" w:rsidP="0060558D">
      <w:pPr>
        <w:pStyle w:val="Default"/>
        <w:rPr>
          <w:lang w:val="de-DE"/>
        </w:rPr>
      </w:pPr>
    </w:p>
    <w:p w:rsidR="00B028DA" w:rsidRPr="0060558D" w:rsidRDefault="00B028DA" w:rsidP="0060558D">
      <w:pPr>
        <w:pStyle w:val="Default"/>
        <w:rPr>
          <w:b/>
          <w:lang w:val="de-DE"/>
        </w:rPr>
      </w:pPr>
      <w:r w:rsidRPr="00B028DA">
        <w:rPr>
          <w:b/>
          <w:sz w:val="23"/>
          <w:szCs w:val="23"/>
          <w:lang w:val="de-DE"/>
        </w:rPr>
        <w:t xml:space="preserve">Annexe: </w:t>
      </w:r>
      <w:proofErr w:type="spellStart"/>
      <w:r w:rsidRPr="00B028DA">
        <w:rPr>
          <w:b/>
          <w:sz w:val="23"/>
          <w:szCs w:val="23"/>
          <w:lang w:val="de-DE"/>
        </w:rPr>
        <w:t>Äntwerte</w:t>
      </w:r>
      <w:bookmarkStart w:id="0" w:name="_GoBack"/>
      <w:bookmarkEnd w:id="0"/>
      <w:proofErr w:type="spellEnd"/>
      <w:r w:rsidRPr="00B028DA">
        <w:rPr>
          <w:b/>
          <w:sz w:val="23"/>
          <w:szCs w:val="23"/>
          <w:lang w:val="de-DE"/>
        </w:rPr>
        <w:t xml:space="preserve"> </w:t>
      </w:r>
      <w:proofErr w:type="spellStart"/>
      <w:r w:rsidRPr="00B028DA">
        <w:rPr>
          <w:b/>
          <w:sz w:val="23"/>
          <w:szCs w:val="23"/>
          <w:lang w:val="de-DE"/>
        </w:rPr>
        <w:t>vum</w:t>
      </w:r>
      <w:proofErr w:type="spellEnd"/>
      <w:r w:rsidRPr="00B028DA">
        <w:rPr>
          <w:b/>
          <w:sz w:val="23"/>
          <w:szCs w:val="23"/>
          <w:lang w:val="de-DE"/>
        </w:rPr>
        <w:t xml:space="preserve"> </w:t>
      </w:r>
      <w:proofErr w:type="spellStart"/>
      <w:r w:rsidRPr="00B028DA">
        <w:rPr>
          <w:b/>
          <w:sz w:val="23"/>
          <w:szCs w:val="23"/>
          <w:lang w:val="de-DE"/>
        </w:rPr>
        <w:t>Ëmweltministère</w:t>
      </w:r>
      <w:proofErr w:type="spellEnd"/>
      <w:r w:rsidRPr="00B028DA">
        <w:rPr>
          <w:b/>
          <w:sz w:val="23"/>
          <w:szCs w:val="23"/>
          <w:lang w:val="de-DE"/>
        </w:rPr>
        <w:t xml:space="preserve"> </w:t>
      </w:r>
      <w:proofErr w:type="spellStart"/>
      <w:r w:rsidRPr="00B028DA">
        <w:rPr>
          <w:b/>
          <w:sz w:val="23"/>
          <w:szCs w:val="23"/>
          <w:lang w:val="de-DE"/>
        </w:rPr>
        <w:t>op</w:t>
      </w:r>
      <w:proofErr w:type="spellEnd"/>
      <w:r w:rsidRPr="00B028DA">
        <w:rPr>
          <w:b/>
          <w:sz w:val="23"/>
          <w:szCs w:val="23"/>
          <w:lang w:val="de-DE"/>
        </w:rPr>
        <w:t xml:space="preserve"> </w:t>
      </w:r>
      <w:proofErr w:type="spellStart"/>
      <w:r w:rsidRPr="00B028DA">
        <w:rPr>
          <w:b/>
          <w:sz w:val="23"/>
          <w:szCs w:val="23"/>
          <w:lang w:val="de-DE"/>
        </w:rPr>
        <w:t>d’Froe</w:t>
      </w:r>
      <w:proofErr w:type="spellEnd"/>
      <w:r w:rsidRPr="00B028DA">
        <w:rPr>
          <w:b/>
          <w:sz w:val="23"/>
          <w:szCs w:val="23"/>
          <w:lang w:val="de-DE"/>
        </w:rPr>
        <w:t xml:space="preserve"> </w:t>
      </w:r>
      <w:proofErr w:type="spellStart"/>
      <w:r w:rsidRPr="00B028DA">
        <w:rPr>
          <w:b/>
          <w:sz w:val="23"/>
          <w:szCs w:val="23"/>
          <w:lang w:val="de-DE"/>
        </w:rPr>
        <w:t>vun</w:t>
      </w:r>
      <w:proofErr w:type="spellEnd"/>
      <w:r w:rsidRPr="00B028DA">
        <w:rPr>
          <w:b/>
          <w:sz w:val="23"/>
          <w:szCs w:val="23"/>
          <w:lang w:val="de-DE"/>
        </w:rPr>
        <w:t xml:space="preserve"> der</w:t>
      </w:r>
      <w:r>
        <w:rPr>
          <w:b/>
          <w:sz w:val="23"/>
          <w:szCs w:val="23"/>
          <w:lang w:val="de-DE"/>
        </w:rPr>
        <w:t xml:space="preserve"> CSV (17.01.2021)</w:t>
      </w:r>
    </w:p>
    <w:p w:rsidR="00B028DA" w:rsidRPr="00B028DA" w:rsidRDefault="00B028DA" w:rsidP="00B028DA">
      <w:pPr>
        <w:pStyle w:val="Default"/>
        <w:spacing w:after="22"/>
        <w:rPr>
          <w:b/>
          <w:sz w:val="23"/>
          <w:szCs w:val="23"/>
          <w:lang w:val="de-DE"/>
        </w:rPr>
      </w:pPr>
    </w:p>
    <w:p w:rsidR="001A5980" w:rsidRPr="0025479A" w:rsidRDefault="001A5980" w:rsidP="001A5980">
      <w:pPr>
        <w:pStyle w:val="Default"/>
        <w:numPr>
          <w:ilvl w:val="0"/>
          <w:numId w:val="1"/>
        </w:numPr>
        <w:spacing w:after="22"/>
        <w:rPr>
          <w:b/>
          <w:sz w:val="23"/>
          <w:szCs w:val="23"/>
          <w:lang w:val="de-DE"/>
        </w:rPr>
      </w:pPr>
      <w:r w:rsidRPr="0025479A">
        <w:rPr>
          <w:b/>
          <w:sz w:val="23"/>
          <w:szCs w:val="23"/>
          <w:lang w:val="de-DE"/>
        </w:rPr>
        <w:t xml:space="preserve">Warum wurden im Rahmen des </w:t>
      </w:r>
      <w:proofErr w:type="spellStart"/>
      <w:r w:rsidRPr="0025479A">
        <w:rPr>
          <w:b/>
          <w:sz w:val="23"/>
          <w:szCs w:val="23"/>
          <w:lang w:val="de-DE"/>
        </w:rPr>
        <w:t>SuperDrecksKëscht</w:t>
      </w:r>
      <w:proofErr w:type="spellEnd"/>
      <w:r w:rsidRPr="0025479A">
        <w:rPr>
          <w:b/>
          <w:sz w:val="23"/>
          <w:szCs w:val="23"/>
          <w:lang w:val="de-DE"/>
        </w:rPr>
        <w:t xml:space="preserve">-Audits im vergangenen Jahr lediglich Teilbereiche analysiert? </w:t>
      </w:r>
    </w:p>
    <w:p w:rsidR="00F724B7" w:rsidRDefault="00F724B7" w:rsidP="00680829">
      <w:pPr>
        <w:pStyle w:val="Default"/>
        <w:spacing w:after="22"/>
        <w:ind w:left="720"/>
        <w:rPr>
          <w:sz w:val="23"/>
          <w:szCs w:val="23"/>
          <w:lang w:val="de-DE"/>
        </w:rPr>
      </w:pPr>
    </w:p>
    <w:p w:rsidR="0025479A" w:rsidRPr="00F724B7" w:rsidRDefault="00C07177" w:rsidP="00680829">
      <w:pPr>
        <w:pStyle w:val="Default"/>
        <w:spacing w:after="22"/>
        <w:ind w:left="720"/>
        <w:rPr>
          <w:sz w:val="22"/>
          <w:szCs w:val="22"/>
          <w:lang w:val="de-DE"/>
        </w:rPr>
      </w:pPr>
      <w:r w:rsidRPr="00F724B7">
        <w:rPr>
          <w:sz w:val="22"/>
          <w:szCs w:val="22"/>
          <w:lang w:val="de-DE"/>
        </w:rPr>
        <w:t xml:space="preserve">Der Rahmen für die Analyse von 2021 wurde auf </w:t>
      </w:r>
      <w:r w:rsidR="00884AD5" w:rsidRPr="00F724B7">
        <w:rPr>
          <w:sz w:val="22"/>
          <w:szCs w:val="22"/>
          <w:lang w:val="de-DE"/>
        </w:rPr>
        <w:t>Basis der</w:t>
      </w:r>
      <w:r w:rsidRPr="00F724B7">
        <w:rPr>
          <w:sz w:val="22"/>
          <w:szCs w:val="22"/>
          <w:lang w:val="de-DE"/>
        </w:rPr>
        <w:t xml:space="preserve"> </w:t>
      </w:r>
      <w:r w:rsidR="008A7EAF" w:rsidRPr="00F724B7">
        <w:rPr>
          <w:sz w:val="22"/>
          <w:szCs w:val="22"/>
          <w:lang w:val="de-DE"/>
        </w:rPr>
        <w:t>Fragen</w:t>
      </w:r>
      <w:r w:rsidRPr="00F724B7">
        <w:rPr>
          <w:sz w:val="22"/>
          <w:szCs w:val="22"/>
          <w:lang w:val="de-DE"/>
        </w:rPr>
        <w:t xml:space="preserve"> der Abgeordneten</w:t>
      </w:r>
      <w:r w:rsidR="008A7EAF" w:rsidRPr="00F724B7">
        <w:rPr>
          <w:sz w:val="22"/>
          <w:szCs w:val="22"/>
          <w:lang w:val="de-DE"/>
        </w:rPr>
        <w:t>, der Fragen aus der Presse</w:t>
      </w:r>
      <w:r w:rsidRPr="00F724B7">
        <w:rPr>
          <w:sz w:val="22"/>
          <w:szCs w:val="22"/>
          <w:lang w:val="de-DE"/>
        </w:rPr>
        <w:t xml:space="preserve"> und allgemeinen Fragen der </w:t>
      </w:r>
      <w:r w:rsidR="0025479A" w:rsidRPr="00F724B7">
        <w:rPr>
          <w:sz w:val="22"/>
          <w:szCs w:val="22"/>
          <w:lang w:val="de-DE"/>
        </w:rPr>
        <w:t>Transparenz</w:t>
      </w:r>
      <w:r w:rsidRPr="00F724B7">
        <w:rPr>
          <w:sz w:val="22"/>
          <w:szCs w:val="22"/>
          <w:lang w:val="de-DE"/>
        </w:rPr>
        <w:t xml:space="preserve"> erstellt. </w:t>
      </w:r>
      <w:r w:rsidR="0025479A" w:rsidRPr="00F724B7">
        <w:rPr>
          <w:sz w:val="22"/>
          <w:szCs w:val="22"/>
          <w:lang w:val="de-DE"/>
        </w:rPr>
        <w:t>Es sei in diesem Kontext zu bemerken, dass die Analyse vorrangig auf den Vertrag des Luxemburg</w:t>
      </w:r>
      <w:r w:rsidR="00884AD5" w:rsidRPr="00F724B7">
        <w:rPr>
          <w:sz w:val="22"/>
          <w:szCs w:val="22"/>
          <w:lang w:val="de-DE"/>
        </w:rPr>
        <w:t>er Staates</w:t>
      </w:r>
      <w:r w:rsidR="0025479A" w:rsidRPr="00F724B7">
        <w:rPr>
          <w:sz w:val="22"/>
          <w:szCs w:val="22"/>
          <w:lang w:val="de-DE"/>
        </w:rPr>
        <w:t xml:space="preserve"> mit der Firma OSL eingeht. </w:t>
      </w:r>
      <w:r w:rsidR="00884AD5" w:rsidRPr="00F724B7">
        <w:rPr>
          <w:sz w:val="22"/>
          <w:szCs w:val="22"/>
          <w:lang w:val="de-DE"/>
        </w:rPr>
        <w:t>Der Rahmen der durch das Umweltministerium vorgenommenen Analyse</w:t>
      </w:r>
      <w:r w:rsidR="0025479A" w:rsidRPr="00F724B7">
        <w:rPr>
          <w:sz w:val="22"/>
          <w:szCs w:val="22"/>
          <w:lang w:val="de-DE"/>
        </w:rPr>
        <w:t xml:space="preserve"> </w:t>
      </w:r>
      <w:r w:rsidR="00884AD5" w:rsidRPr="00F724B7">
        <w:rPr>
          <w:sz w:val="22"/>
          <w:szCs w:val="22"/>
          <w:lang w:val="de-DE"/>
        </w:rPr>
        <w:t xml:space="preserve">hat den </w:t>
      </w:r>
      <w:r w:rsidR="0025479A" w:rsidRPr="00F724B7">
        <w:rPr>
          <w:sz w:val="22"/>
          <w:szCs w:val="22"/>
          <w:lang w:val="de-DE"/>
        </w:rPr>
        <w:t>Handlungsspielraum des Staates</w:t>
      </w:r>
      <w:r w:rsidR="00884AD5" w:rsidRPr="00F724B7">
        <w:rPr>
          <w:sz w:val="22"/>
          <w:szCs w:val="22"/>
          <w:lang w:val="de-DE"/>
        </w:rPr>
        <w:t>,</w:t>
      </w:r>
      <w:r w:rsidR="0025479A" w:rsidRPr="00F724B7">
        <w:rPr>
          <w:sz w:val="22"/>
          <w:szCs w:val="22"/>
          <w:lang w:val="de-DE"/>
        </w:rPr>
        <w:t xml:space="preserve"> </w:t>
      </w:r>
      <w:r w:rsidR="00884AD5" w:rsidRPr="00F724B7">
        <w:rPr>
          <w:sz w:val="22"/>
          <w:szCs w:val="22"/>
          <w:lang w:val="de-DE"/>
        </w:rPr>
        <w:t xml:space="preserve">in seiner Rolle </w:t>
      </w:r>
      <w:r w:rsidR="0025479A" w:rsidRPr="00F724B7">
        <w:rPr>
          <w:sz w:val="22"/>
          <w:szCs w:val="22"/>
          <w:lang w:val="de-DE"/>
        </w:rPr>
        <w:t>als Auftragnehmer</w:t>
      </w:r>
      <w:r w:rsidR="00884AD5" w:rsidRPr="00F724B7">
        <w:rPr>
          <w:sz w:val="22"/>
          <w:szCs w:val="22"/>
          <w:lang w:val="de-DE"/>
        </w:rPr>
        <w:t xml:space="preserve"> in Bezug auf einen privaten Dienstleister, ausgeschöpft. </w:t>
      </w:r>
    </w:p>
    <w:p w:rsidR="00CE4D48" w:rsidRDefault="00CE4D48" w:rsidP="0025479A">
      <w:pPr>
        <w:pStyle w:val="Default"/>
        <w:spacing w:after="22"/>
        <w:ind w:left="720"/>
        <w:rPr>
          <w:sz w:val="23"/>
          <w:szCs w:val="23"/>
          <w:lang w:val="de-DE"/>
        </w:rPr>
      </w:pPr>
    </w:p>
    <w:p w:rsidR="001A5980" w:rsidRPr="0025479A" w:rsidRDefault="001A5980" w:rsidP="0025479A">
      <w:pPr>
        <w:pStyle w:val="Default"/>
        <w:numPr>
          <w:ilvl w:val="0"/>
          <w:numId w:val="1"/>
        </w:numPr>
        <w:spacing w:after="22"/>
        <w:rPr>
          <w:b/>
          <w:sz w:val="23"/>
          <w:szCs w:val="23"/>
          <w:lang w:val="de-DE"/>
        </w:rPr>
      </w:pPr>
      <w:r w:rsidRPr="0025479A">
        <w:rPr>
          <w:b/>
          <w:sz w:val="23"/>
          <w:szCs w:val="23"/>
          <w:lang w:val="de-DE"/>
        </w:rPr>
        <w:t xml:space="preserve">Warum wurde die öffentliche Ausschreibung 2017 nicht in die Teilbereiche Beratung, Transport und Weiterbildung aufgespalten? </w:t>
      </w:r>
    </w:p>
    <w:p w:rsidR="00F724B7" w:rsidRDefault="00F724B7" w:rsidP="00B16CFF">
      <w:pPr>
        <w:pStyle w:val="ListParagraph"/>
        <w:rPr>
          <w:lang w:val="de-DE"/>
        </w:rPr>
      </w:pPr>
    </w:p>
    <w:p w:rsidR="00B16CFF" w:rsidRPr="00B16CFF" w:rsidRDefault="00B16CFF" w:rsidP="00B16CFF">
      <w:pPr>
        <w:pStyle w:val="ListParagraph"/>
        <w:rPr>
          <w:lang w:val="de-DE"/>
        </w:rPr>
      </w:pPr>
      <w:r w:rsidRPr="00B16CFF">
        <w:rPr>
          <w:lang w:val="de-DE"/>
        </w:rPr>
        <w:t>Das Gesetz vom 25. März 2005 beschreibt die Aufgaben</w:t>
      </w:r>
      <w:r>
        <w:rPr>
          <w:lang w:val="de-DE"/>
        </w:rPr>
        <w:t xml:space="preserve"> (Art1.)</w:t>
      </w:r>
      <w:r w:rsidRPr="00B16CFF">
        <w:rPr>
          <w:lang w:val="de-DE"/>
        </w:rPr>
        <w:t xml:space="preserve"> der SDK. </w:t>
      </w:r>
      <w:r w:rsidR="008A7EAF">
        <w:rPr>
          <w:lang w:val="de-DE"/>
        </w:rPr>
        <w:t xml:space="preserve">Dieses Gesetz definiert die Basis der Aktion </w:t>
      </w:r>
      <w:proofErr w:type="spellStart"/>
      <w:r w:rsidR="008A7EAF">
        <w:rPr>
          <w:lang w:val="de-DE"/>
        </w:rPr>
        <w:t>SuperDrecksKëscht</w:t>
      </w:r>
      <w:proofErr w:type="spellEnd"/>
      <w:r w:rsidR="008A7EAF">
        <w:rPr>
          <w:lang w:val="de-DE"/>
        </w:rPr>
        <w:t xml:space="preserve"> (SDK). </w:t>
      </w:r>
      <w:r w:rsidRPr="00B16CFF">
        <w:rPr>
          <w:lang w:val="de-DE"/>
        </w:rPr>
        <w:t xml:space="preserve">Die SDK </w:t>
      </w:r>
      <w:r w:rsidR="00A86FFE">
        <w:rPr>
          <w:lang w:val="de-DE"/>
        </w:rPr>
        <w:t>wird hier als eine</w:t>
      </w:r>
      <w:r w:rsidRPr="00B16CFF">
        <w:rPr>
          <w:lang w:val="de-DE"/>
        </w:rPr>
        <w:t xml:space="preserve"> </w:t>
      </w:r>
      <w:r>
        <w:rPr>
          <w:lang w:val="de-DE"/>
        </w:rPr>
        <w:t>gesamtheitliche</w:t>
      </w:r>
      <w:r w:rsidRPr="00B16CFF">
        <w:rPr>
          <w:lang w:val="de-DE"/>
        </w:rPr>
        <w:t xml:space="preserve"> Aktion</w:t>
      </w:r>
      <w:r w:rsidR="00884AD5">
        <w:rPr>
          <w:lang w:val="de-DE"/>
        </w:rPr>
        <w:t>,</w:t>
      </w:r>
      <w:r w:rsidRPr="00B16CFF">
        <w:rPr>
          <w:lang w:val="de-DE"/>
        </w:rPr>
        <w:t xml:space="preserve"> in der die verschiedenen Aufgaben miteinander verbunden und aufeinander abgestimmt sind</w:t>
      </w:r>
      <w:r w:rsidR="00A86FFE">
        <w:rPr>
          <w:lang w:val="de-DE"/>
        </w:rPr>
        <w:t>, definiert</w:t>
      </w:r>
      <w:r w:rsidRPr="00B16CFF">
        <w:rPr>
          <w:lang w:val="de-DE"/>
        </w:rPr>
        <w:t xml:space="preserve">. Demnach erfolgte die Ausschreibung der Aktion ganzheitlich, dies sowohl für die Ausschreibung von 2007 wie jene von 2017. </w:t>
      </w:r>
    </w:p>
    <w:p w:rsidR="00B16CFF" w:rsidRPr="00B16CFF" w:rsidRDefault="00B16CFF" w:rsidP="00B16CFF">
      <w:pPr>
        <w:pStyle w:val="ListParagraph"/>
        <w:rPr>
          <w:lang w:val="de-DE"/>
        </w:rPr>
      </w:pPr>
      <w:r w:rsidRPr="00B16CFF">
        <w:rPr>
          <w:lang w:val="de-DE"/>
        </w:rPr>
        <w:t xml:space="preserve">Um dennoch der Tatsache Rechnung zu tragen, dass </w:t>
      </w:r>
      <w:r w:rsidR="008C7A21">
        <w:rPr>
          <w:lang w:val="de-DE"/>
        </w:rPr>
        <w:t xml:space="preserve">sich </w:t>
      </w:r>
      <w:r w:rsidRPr="00B16CFF">
        <w:rPr>
          <w:lang w:val="de-DE"/>
        </w:rPr>
        <w:t>verschiedene Akteure mit unterschiedlichen Spezialtäten bewerben können</w:t>
      </w:r>
      <w:r w:rsidR="00A86FFE">
        <w:rPr>
          <w:lang w:val="de-DE"/>
        </w:rPr>
        <w:t>/dürfen</w:t>
      </w:r>
      <w:r w:rsidRPr="00B16CFF">
        <w:rPr>
          <w:lang w:val="de-DE"/>
        </w:rPr>
        <w:t xml:space="preserve">, haben die jeweiligen Ausschreibungen </w:t>
      </w:r>
      <w:r w:rsidR="008C7A21">
        <w:rPr>
          <w:lang w:val="de-DE"/>
        </w:rPr>
        <w:t xml:space="preserve">der </w:t>
      </w:r>
      <w:proofErr w:type="spellStart"/>
      <w:r w:rsidR="008C7A21">
        <w:rPr>
          <w:lang w:val="de-DE"/>
        </w:rPr>
        <w:t>Aktioun</w:t>
      </w:r>
      <w:proofErr w:type="spellEnd"/>
      <w:r w:rsidR="008C7A21">
        <w:rPr>
          <w:lang w:val="de-DE"/>
        </w:rPr>
        <w:t xml:space="preserve"> </w:t>
      </w:r>
      <w:proofErr w:type="spellStart"/>
      <w:r w:rsidR="008C7A21">
        <w:rPr>
          <w:lang w:val="de-DE"/>
        </w:rPr>
        <w:t>SuperDrecksKëscht</w:t>
      </w:r>
      <w:proofErr w:type="spellEnd"/>
      <w:r w:rsidR="008C7A21">
        <w:rPr>
          <w:lang w:val="de-DE"/>
        </w:rPr>
        <w:t xml:space="preserve"> immer </w:t>
      </w:r>
      <w:r w:rsidRPr="00B16CFF">
        <w:rPr>
          <w:lang w:val="de-DE"/>
        </w:rPr>
        <w:t>explizit die Möglichkeit der „</w:t>
      </w:r>
      <w:proofErr w:type="spellStart"/>
      <w:r w:rsidRPr="00B16CFF">
        <w:rPr>
          <w:lang w:val="de-DE"/>
        </w:rPr>
        <w:t>association</w:t>
      </w:r>
      <w:proofErr w:type="spellEnd"/>
      <w:r w:rsidRPr="00B16CFF">
        <w:rPr>
          <w:lang w:val="de-DE"/>
        </w:rPr>
        <w:t xml:space="preserve"> </w:t>
      </w:r>
      <w:proofErr w:type="spellStart"/>
      <w:r w:rsidRPr="00B16CFF">
        <w:rPr>
          <w:lang w:val="de-DE"/>
        </w:rPr>
        <w:t>momentanée</w:t>
      </w:r>
      <w:proofErr w:type="spellEnd"/>
      <w:r w:rsidRPr="00B16CFF">
        <w:rPr>
          <w:lang w:val="de-DE"/>
        </w:rPr>
        <w:t>“ vorgesehen.</w:t>
      </w:r>
    </w:p>
    <w:p w:rsidR="00B16CFF" w:rsidRPr="001A5980" w:rsidRDefault="00B16CFF" w:rsidP="00B16CFF">
      <w:pPr>
        <w:pStyle w:val="Default"/>
        <w:spacing w:after="22"/>
        <w:ind w:left="720"/>
        <w:rPr>
          <w:sz w:val="23"/>
          <w:szCs w:val="23"/>
          <w:lang w:val="de-DE"/>
        </w:rPr>
      </w:pPr>
    </w:p>
    <w:p w:rsidR="001A5980" w:rsidRDefault="001A5980" w:rsidP="000F5F21">
      <w:pPr>
        <w:pStyle w:val="Default"/>
        <w:numPr>
          <w:ilvl w:val="0"/>
          <w:numId w:val="1"/>
        </w:numPr>
        <w:spacing w:after="22"/>
        <w:rPr>
          <w:b/>
          <w:sz w:val="23"/>
          <w:szCs w:val="23"/>
          <w:lang w:val="de-DE"/>
        </w:rPr>
      </w:pPr>
      <w:r w:rsidRPr="000F5F21">
        <w:rPr>
          <w:b/>
          <w:sz w:val="23"/>
          <w:szCs w:val="23"/>
          <w:lang w:val="de-DE"/>
        </w:rPr>
        <w:t xml:space="preserve">Warum wurde die Kommission für öffentliche Ausschreibungen nicht um ein Gutachten ersucht? </w:t>
      </w:r>
    </w:p>
    <w:p w:rsidR="000F5F21" w:rsidRPr="000F5F21" w:rsidRDefault="000F5F21" w:rsidP="000F5F21">
      <w:pPr>
        <w:pStyle w:val="Default"/>
        <w:spacing w:after="22"/>
        <w:ind w:left="720"/>
        <w:rPr>
          <w:b/>
          <w:sz w:val="23"/>
          <w:szCs w:val="23"/>
          <w:lang w:val="de-DE"/>
        </w:rPr>
      </w:pPr>
    </w:p>
    <w:p w:rsidR="00B16CFF" w:rsidRPr="0025479A" w:rsidRDefault="00B16CFF" w:rsidP="0025479A">
      <w:pPr>
        <w:pStyle w:val="ListParagraph"/>
        <w:rPr>
          <w:lang w:val="de-DE"/>
        </w:rPr>
      </w:pPr>
      <w:r w:rsidRPr="0025479A">
        <w:rPr>
          <w:lang w:val="de-DE"/>
        </w:rPr>
        <w:t>Der Präsident der Abgeordnetenkammer hat am 28.9.21 die Ministerin gebeten</w:t>
      </w:r>
      <w:r w:rsidR="008C7A21">
        <w:rPr>
          <w:lang w:val="de-DE"/>
        </w:rPr>
        <w:t>,</w:t>
      </w:r>
      <w:r w:rsidRPr="0025479A">
        <w:rPr>
          <w:lang w:val="de-DE"/>
        </w:rPr>
        <w:t xml:space="preserve"> verschiedene Dokumente für </w:t>
      </w:r>
      <w:r w:rsidR="00CE4D48">
        <w:rPr>
          <w:lang w:val="de-DE"/>
        </w:rPr>
        <w:t xml:space="preserve">der </w:t>
      </w:r>
      <w:r w:rsidR="002A772D">
        <w:rPr>
          <w:lang w:val="de-DE"/>
        </w:rPr>
        <w:t>„</w:t>
      </w:r>
      <w:proofErr w:type="spellStart"/>
      <w:r w:rsidRPr="0025479A">
        <w:rPr>
          <w:lang w:val="de-DE"/>
        </w:rPr>
        <w:t>Commission</w:t>
      </w:r>
      <w:proofErr w:type="spellEnd"/>
      <w:r w:rsidRPr="0025479A">
        <w:rPr>
          <w:lang w:val="de-DE"/>
        </w:rPr>
        <w:t xml:space="preserve"> du </w:t>
      </w:r>
      <w:proofErr w:type="spellStart"/>
      <w:r w:rsidRPr="0025479A">
        <w:rPr>
          <w:lang w:val="de-DE"/>
        </w:rPr>
        <w:t>Contrôle</w:t>
      </w:r>
      <w:proofErr w:type="spellEnd"/>
      <w:r w:rsidRPr="0025479A">
        <w:rPr>
          <w:lang w:val="de-DE"/>
        </w:rPr>
        <w:t xml:space="preserve"> de </w:t>
      </w:r>
      <w:proofErr w:type="spellStart"/>
      <w:r w:rsidRPr="0025479A">
        <w:rPr>
          <w:lang w:val="de-DE"/>
        </w:rPr>
        <w:t>l’exécution</w:t>
      </w:r>
      <w:proofErr w:type="spellEnd"/>
      <w:r w:rsidRPr="0025479A">
        <w:rPr>
          <w:lang w:val="de-DE"/>
        </w:rPr>
        <w:t xml:space="preserve"> </w:t>
      </w:r>
      <w:proofErr w:type="spellStart"/>
      <w:r w:rsidRPr="0025479A">
        <w:rPr>
          <w:lang w:val="de-DE"/>
        </w:rPr>
        <w:t>budgétaire</w:t>
      </w:r>
      <w:proofErr w:type="spellEnd"/>
      <w:r w:rsidR="00CE4D48">
        <w:rPr>
          <w:lang w:val="de-DE"/>
        </w:rPr>
        <w:t>“</w:t>
      </w:r>
      <w:r w:rsidRPr="0025479A">
        <w:rPr>
          <w:lang w:val="de-DE"/>
        </w:rPr>
        <w:t xml:space="preserve"> zu</w:t>
      </w:r>
      <w:r w:rsidR="00CE4D48">
        <w:rPr>
          <w:lang w:val="de-DE"/>
        </w:rPr>
        <w:t>r</w:t>
      </w:r>
      <w:r w:rsidRPr="0025479A">
        <w:rPr>
          <w:lang w:val="de-DE"/>
        </w:rPr>
        <w:t xml:space="preserve"> Verfügung </w:t>
      </w:r>
      <w:r w:rsidR="00CE4D48" w:rsidRPr="0025479A">
        <w:rPr>
          <w:lang w:val="de-DE"/>
        </w:rPr>
        <w:t>zu stellen</w:t>
      </w:r>
      <w:r w:rsidRPr="0025479A">
        <w:rPr>
          <w:lang w:val="de-DE"/>
        </w:rPr>
        <w:t>. In dem Zusammenhang wurden der Abgeordnetenkammer am 1 Oktober</w:t>
      </w:r>
      <w:r w:rsidR="00CE4D48">
        <w:rPr>
          <w:lang w:val="de-DE"/>
        </w:rPr>
        <w:t xml:space="preserve"> 2021</w:t>
      </w:r>
      <w:r w:rsidRPr="0025479A">
        <w:rPr>
          <w:lang w:val="de-DE"/>
        </w:rPr>
        <w:t xml:space="preserve"> </w:t>
      </w:r>
      <w:r w:rsidR="000F5F21" w:rsidRPr="0025479A">
        <w:rPr>
          <w:lang w:val="de-DE"/>
        </w:rPr>
        <w:t>verschiedene Dokume</w:t>
      </w:r>
      <w:r w:rsidR="00CE4D48">
        <w:rPr>
          <w:lang w:val="de-DE"/>
        </w:rPr>
        <w:t>nte übermittelt. In diesen Doku</w:t>
      </w:r>
      <w:r w:rsidR="000F5F21" w:rsidRPr="0025479A">
        <w:rPr>
          <w:lang w:val="de-DE"/>
        </w:rPr>
        <w:t>ment</w:t>
      </w:r>
      <w:r w:rsidR="00CE4D48">
        <w:rPr>
          <w:lang w:val="de-DE"/>
        </w:rPr>
        <w:t>en</w:t>
      </w:r>
      <w:r w:rsidR="000F5F21" w:rsidRPr="0025479A">
        <w:rPr>
          <w:lang w:val="de-DE"/>
        </w:rPr>
        <w:t xml:space="preserve"> befand sich </w:t>
      </w:r>
      <w:r w:rsidR="008C7A21">
        <w:rPr>
          <w:lang w:val="de-DE"/>
        </w:rPr>
        <w:t>sowohl</w:t>
      </w:r>
      <w:r w:rsidR="000F5F21" w:rsidRPr="0025479A">
        <w:rPr>
          <w:lang w:val="de-DE"/>
        </w:rPr>
        <w:t xml:space="preserve"> die Anfrage </w:t>
      </w:r>
      <w:r w:rsidR="008C7A21">
        <w:rPr>
          <w:lang w:val="de-DE"/>
        </w:rPr>
        <w:t xml:space="preserve">als auch die </w:t>
      </w:r>
      <w:r w:rsidR="000F5F21" w:rsidRPr="0025479A">
        <w:rPr>
          <w:lang w:val="de-DE"/>
        </w:rPr>
        <w:t>Antwort der</w:t>
      </w:r>
      <w:r w:rsidR="008C7A21">
        <w:rPr>
          <w:lang w:val="de-DE"/>
        </w:rPr>
        <w:t xml:space="preserve"> erwähnten </w:t>
      </w:r>
      <w:r w:rsidR="000F5F21" w:rsidRPr="0025479A">
        <w:rPr>
          <w:lang w:val="de-DE"/>
        </w:rPr>
        <w:t>Ko</w:t>
      </w:r>
      <w:r w:rsidR="00CE4D48">
        <w:rPr>
          <w:lang w:val="de-DE"/>
        </w:rPr>
        <w:t>mmissio</w:t>
      </w:r>
      <w:r w:rsidR="000F5F21" w:rsidRPr="0025479A">
        <w:rPr>
          <w:lang w:val="de-DE"/>
        </w:rPr>
        <w:t>n für öffentliche Aus</w:t>
      </w:r>
      <w:r w:rsidR="00CE4D48">
        <w:rPr>
          <w:lang w:val="de-DE"/>
        </w:rPr>
        <w:t>s</w:t>
      </w:r>
      <w:r w:rsidR="000F5F21" w:rsidRPr="0025479A">
        <w:rPr>
          <w:lang w:val="de-DE"/>
        </w:rPr>
        <w:t>chreibungen</w:t>
      </w:r>
      <w:r w:rsidR="008C7A21">
        <w:rPr>
          <w:lang w:val="de-DE"/>
        </w:rPr>
        <w:t>.</w:t>
      </w:r>
      <w:r w:rsidR="000F5F21" w:rsidRPr="0025479A">
        <w:rPr>
          <w:lang w:val="de-DE"/>
        </w:rPr>
        <w:t xml:space="preserve"> </w:t>
      </w:r>
      <w:r w:rsidR="00017D87">
        <w:rPr>
          <w:lang w:val="de-DE"/>
        </w:rPr>
        <w:t>(Das Gutachten ist</w:t>
      </w:r>
      <w:r w:rsidR="00F724B7">
        <w:rPr>
          <w:lang w:val="de-DE"/>
        </w:rPr>
        <w:t xml:space="preserve"> dieser Pressemitteilung beigefügt.)</w:t>
      </w:r>
    </w:p>
    <w:p w:rsidR="001A5980" w:rsidRPr="000F5F21" w:rsidRDefault="001A5980" w:rsidP="0025479A">
      <w:pPr>
        <w:pStyle w:val="Default"/>
        <w:numPr>
          <w:ilvl w:val="0"/>
          <w:numId w:val="1"/>
        </w:numPr>
        <w:spacing w:after="22"/>
        <w:rPr>
          <w:b/>
          <w:sz w:val="23"/>
          <w:szCs w:val="23"/>
          <w:lang w:val="de-DE"/>
        </w:rPr>
      </w:pPr>
      <w:r w:rsidRPr="000F5F21">
        <w:rPr>
          <w:b/>
          <w:sz w:val="23"/>
          <w:szCs w:val="23"/>
          <w:lang w:val="de-DE"/>
        </w:rPr>
        <w:t xml:space="preserve">Wer kontrolliert bei SDK die Rechnungen? </w:t>
      </w:r>
    </w:p>
    <w:p w:rsidR="0025479A" w:rsidRDefault="0025479A" w:rsidP="000F5F21">
      <w:pPr>
        <w:pStyle w:val="Default"/>
        <w:spacing w:after="22"/>
        <w:ind w:left="720"/>
        <w:rPr>
          <w:sz w:val="23"/>
          <w:szCs w:val="23"/>
          <w:lang w:val="de-DE"/>
        </w:rPr>
      </w:pPr>
    </w:p>
    <w:p w:rsidR="0025479A" w:rsidRPr="00F724B7" w:rsidRDefault="000F5F21" w:rsidP="008C7A21">
      <w:pPr>
        <w:pStyle w:val="Default"/>
        <w:spacing w:after="22"/>
        <w:ind w:left="720"/>
        <w:rPr>
          <w:sz w:val="22"/>
          <w:szCs w:val="22"/>
          <w:lang w:val="de-DE"/>
        </w:rPr>
      </w:pPr>
      <w:r w:rsidRPr="00F724B7">
        <w:rPr>
          <w:sz w:val="22"/>
          <w:szCs w:val="22"/>
          <w:lang w:val="de-DE"/>
        </w:rPr>
        <w:t xml:space="preserve">In der Analyse </w:t>
      </w:r>
      <w:r w:rsidR="008C7A21" w:rsidRPr="00F724B7">
        <w:rPr>
          <w:sz w:val="22"/>
          <w:szCs w:val="22"/>
          <w:lang w:val="de-DE"/>
        </w:rPr>
        <w:t xml:space="preserve">des Umweltministeriums, die </w:t>
      </w:r>
      <w:r w:rsidRPr="00F724B7">
        <w:rPr>
          <w:sz w:val="22"/>
          <w:szCs w:val="22"/>
          <w:lang w:val="de-DE"/>
        </w:rPr>
        <w:t xml:space="preserve">im September 2021 der Abgeordnetenkammer übermittelt wurde, </w:t>
      </w:r>
      <w:r w:rsidR="008C7A21" w:rsidRPr="00F724B7">
        <w:rPr>
          <w:sz w:val="22"/>
          <w:szCs w:val="22"/>
          <w:lang w:val="de-DE"/>
        </w:rPr>
        <w:t xml:space="preserve">ist </w:t>
      </w:r>
      <w:r w:rsidRPr="00F724B7">
        <w:rPr>
          <w:sz w:val="22"/>
          <w:szCs w:val="22"/>
          <w:lang w:val="de-DE"/>
        </w:rPr>
        <w:t>auf den Seiten 37 ff nach</w:t>
      </w:r>
      <w:r w:rsidR="008C7A21" w:rsidRPr="00F724B7">
        <w:rPr>
          <w:sz w:val="22"/>
          <w:szCs w:val="22"/>
          <w:lang w:val="de-DE"/>
        </w:rPr>
        <w:t>zu</w:t>
      </w:r>
      <w:r w:rsidRPr="00F724B7">
        <w:rPr>
          <w:sz w:val="22"/>
          <w:szCs w:val="22"/>
          <w:lang w:val="de-DE"/>
        </w:rPr>
        <w:t>lesen</w:t>
      </w:r>
      <w:r w:rsidR="008C7A21" w:rsidRPr="00F724B7">
        <w:rPr>
          <w:sz w:val="22"/>
          <w:szCs w:val="22"/>
          <w:lang w:val="de-DE"/>
        </w:rPr>
        <w:t>,</w:t>
      </w:r>
      <w:r w:rsidRPr="00F724B7">
        <w:rPr>
          <w:sz w:val="22"/>
          <w:szCs w:val="22"/>
          <w:lang w:val="de-DE"/>
        </w:rPr>
        <w:t xml:space="preserve"> wie die Rechnungen </w:t>
      </w:r>
      <w:r w:rsidR="008C7A21" w:rsidRPr="00F724B7">
        <w:rPr>
          <w:sz w:val="22"/>
          <w:szCs w:val="22"/>
          <w:lang w:val="de-DE"/>
        </w:rPr>
        <w:t xml:space="preserve">im Detail </w:t>
      </w:r>
      <w:r w:rsidRPr="00F724B7">
        <w:rPr>
          <w:sz w:val="22"/>
          <w:szCs w:val="22"/>
          <w:lang w:val="de-DE"/>
        </w:rPr>
        <w:t xml:space="preserve">kontrolliert werden. Dazu sei auch noch auf die </w:t>
      </w:r>
      <w:r w:rsidR="008C7A21" w:rsidRPr="00F724B7">
        <w:rPr>
          <w:sz w:val="22"/>
          <w:szCs w:val="22"/>
          <w:lang w:val="de-DE"/>
        </w:rPr>
        <w:t xml:space="preserve">Antwort auf </w:t>
      </w:r>
      <w:r w:rsidRPr="00F724B7">
        <w:rPr>
          <w:sz w:val="22"/>
          <w:szCs w:val="22"/>
          <w:lang w:val="de-DE"/>
        </w:rPr>
        <w:t>Frage 5 verwiesen, welc</w:t>
      </w:r>
      <w:r w:rsidR="0025479A" w:rsidRPr="00F724B7">
        <w:rPr>
          <w:sz w:val="22"/>
          <w:szCs w:val="22"/>
          <w:lang w:val="de-DE"/>
        </w:rPr>
        <w:t xml:space="preserve">he weitere Erläuterungen gibt. </w:t>
      </w:r>
      <w:r w:rsidR="008C7A21" w:rsidRPr="00F724B7">
        <w:rPr>
          <w:sz w:val="22"/>
          <w:szCs w:val="22"/>
          <w:lang w:val="de-DE"/>
        </w:rPr>
        <w:t xml:space="preserve">(Der </w:t>
      </w:r>
      <w:r w:rsidR="00A86FFE" w:rsidRPr="00F724B7">
        <w:rPr>
          <w:sz w:val="22"/>
          <w:szCs w:val="22"/>
          <w:lang w:val="de-DE"/>
        </w:rPr>
        <w:t xml:space="preserve">bereits veröffentlichte, </w:t>
      </w:r>
      <w:r w:rsidR="008C7A21" w:rsidRPr="00F724B7">
        <w:rPr>
          <w:sz w:val="22"/>
          <w:szCs w:val="22"/>
          <w:lang w:val="de-DE"/>
        </w:rPr>
        <w:t xml:space="preserve">vollständige Bericht ist dieser Pressemitteilung beigefügt.) </w:t>
      </w:r>
    </w:p>
    <w:p w:rsidR="0025479A" w:rsidRPr="00F724B7" w:rsidRDefault="0025479A" w:rsidP="0025479A">
      <w:pPr>
        <w:pStyle w:val="Default"/>
        <w:spacing w:after="22"/>
        <w:ind w:left="720"/>
        <w:rPr>
          <w:sz w:val="22"/>
          <w:szCs w:val="22"/>
          <w:lang w:val="de-DE"/>
        </w:rPr>
      </w:pPr>
    </w:p>
    <w:p w:rsidR="001A5980" w:rsidRPr="0025479A" w:rsidRDefault="0025479A" w:rsidP="0025479A">
      <w:pPr>
        <w:pStyle w:val="Default"/>
        <w:spacing w:after="22"/>
        <w:rPr>
          <w:sz w:val="23"/>
          <w:szCs w:val="23"/>
          <w:lang w:val="de-DE"/>
        </w:rPr>
      </w:pPr>
      <w:r>
        <w:rPr>
          <w:sz w:val="23"/>
          <w:szCs w:val="23"/>
          <w:lang w:val="de-DE"/>
        </w:rPr>
        <w:t xml:space="preserve">     </w:t>
      </w:r>
      <w:r w:rsidR="001A5980" w:rsidRPr="000F5F21">
        <w:rPr>
          <w:b/>
          <w:sz w:val="23"/>
          <w:szCs w:val="23"/>
          <w:lang w:val="de-DE"/>
        </w:rPr>
        <w:t xml:space="preserve">5. Wer übt die Kontrolle über die kontrollierenden Instanzen aus? </w:t>
      </w:r>
    </w:p>
    <w:p w:rsidR="000F5F21" w:rsidRDefault="000F5F21" w:rsidP="001A5980">
      <w:pPr>
        <w:pStyle w:val="Default"/>
        <w:spacing w:after="22"/>
        <w:rPr>
          <w:sz w:val="23"/>
          <w:szCs w:val="23"/>
          <w:lang w:val="de-DE"/>
        </w:rPr>
      </w:pPr>
    </w:p>
    <w:p w:rsidR="000F5F21" w:rsidRDefault="000F5F21" w:rsidP="000F5F21">
      <w:pPr>
        <w:ind w:left="720"/>
        <w:rPr>
          <w:lang w:val="de-DE"/>
        </w:rPr>
      </w:pPr>
      <w:r>
        <w:rPr>
          <w:lang w:val="de-DE"/>
        </w:rPr>
        <w:t xml:space="preserve">Die monatlichen Rechnungen der SDK beinhalten sämtliche Details sowohl über die Ausgaben </w:t>
      </w:r>
      <w:r w:rsidR="008C7A21">
        <w:rPr>
          <w:lang w:val="de-DE"/>
        </w:rPr>
        <w:t>als</w:t>
      </w:r>
      <w:r>
        <w:rPr>
          <w:lang w:val="de-DE"/>
        </w:rPr>
        <w:t xml:space="preserve"> auch über die Einnahmen. </w:t>
      </w:r>
    </w:p>
    <w:p w:rsidR="000F5F21" w:rsidRDefault="000F5F21" w:rsidP="000F5F21">
      <w:pPr>
        <w:ind w:left="720"/>
        <w:rPr>
          <w:lang w:val="de-DE"/>
        </w:rPr>
      </w:pPr>
      <w:r>
        <w:rPr>
          <w:lang w:val="de-DE"/>
        </w:rPr>
        <w:t>Diese Rechnungen werden von der Umweltverwaltung kontrolliert. Die Kontrolle beinhaltet eine Überprüfung der Opportunität und der Plausibilität der Ausgaben sowie auch eine buchhalterische Überprüfung sämtlicher verrechneter Summen. Zur Kontrolle gehört auch die zeitliche Entwicklung verschiedener Indikatoren wie z.B. der Preis pro kg eingesammelter Problemstoffe, die mittleren Kosten der Beratung pro Betrieb oder auch die mittleren Beratungs-Stunden pro Betrieb.</w:t>
      </w:r>
    </w:p>
    <w:p w:rsidR="000F5F21" w:rsidRPr="00F85FAE" w:rsidRDefault="000F5F21" w:rsidP="000F5F21">
      <w:pPr>
        <w:ind w:left="720"/>
        <w:rPr>
          <w:lang w:val="de-DE"/>
        </w:rPr>
      </w:pPr>
      <w:r>
        <w:rPr>
          <w:lang w:val="de-DE"/>
        </w:rPr>
        <w:t>Die vo</w:t>
      </w:r>
      <w:r w:rsidR="008C7A21">
        <w:rPr>
          <w:lang w:val="de-DE"/>
        </w:rPr>
        <w:t>n der</w:t>
      </w:r>
      <w:r>
        <w:rPr>
          <w:lang w:val="de-DE"/>
        </w:rPr>
        <w:t xml:space="preserve"> Umwel</w:t>
      </w:r>
      <w:r w:rsidR="008C7A21">
        <w:rPr>
          <w:lang w:val="de-DE"/>
        </w:rPr>
        <w:t>tverwaltung</w:t>
      </w:r>
      <w:r>
        <w:rPr>
          <w:lang w:val="de-DE"/>
        </w:rPr>
        <w:t xml:space="preserve"> geprüften Rechnung</w:t>
      </w:r>
      <w:r w:rsidR="00A86FFE">
        <w:rPr>
          <w:lang w:val="de-DE"/>
        </w:rPr>
        <w:t>en</w:t>
      </w:r>
      <w:r>
        <w:rPr>
          <w:lang w:val="de-DE"/>
        </w:rPr>
        <w:t xml:space="preserve"> werden dann der „Direction du </w:t>
      </w:r>
      <w:proofErr w:type="spellStart"/>
      <w:r>
        <w:rPr>
          <w:lang w:val="de-DE"/>
        </w:rPr>
        <w:t>contrôle</w:t>
      </w:r>
      <w:proofErr w:type="spellEnd"/>
      <w:r>
        <w:rPr>
          <w:lang w:val="de-DE"/>
        </w:rPr>
        <w:t xml:space="preserve"> </w:t>
      </w:r>
      <w:proofErr w:type="spellStart"/>
      <w:r>
        <w:rPr>
          <w:lang w:val="de-DE"/>
        </w:rPr>
        <w:t>financier</w:t>
      </w:r>
      <w:proofErr w:type="spellEnd"/>
      <w:r>
        <w:rPr>
          <w:lang w:val="de-DE"/>
        </w:rPr>
        <w:t>“ vorgelegt. Erst nach deren Freigabe kann die Rechnung ausbezahlt werden.</w:t>
      </w:r>
    </w:p>
    <w:p w:rsidR="000F5F21" w:rsidRPr="001A5980" w:rsidRDefault="000F5F21" w:rsidP="001A5980">
      <w:pPr>
        <w:pStyle w:val="Default"/>
        <w:spacing w:after="22"/>
        <w:rPr>
          <w:sz w:val="23"/>
          <w:szCs w:val="23"/>
          <w:lang w:val="de-DE"/>
        </w:rPr>
      </w:pPr>
    </w:p>
    <w:p w:rsidR="001A5980" w:rsidRPr="000F5F21" w:rsidRDefault="001A5980" w:rsidP="0025479A">
      <w:pPr>
        <w:pStyle w:val="Default"/>
        <w:numPr>
          <w:ilvl w:val="0"/>
          <w:numId w:val="4"/>
        </w:numPr>
        <w:spacing w:after="22"/>
        <w:rPr>
          <w:b/>
          <w:sz w:val="23"/>
          <w:szCs w:val="23"/>
          <w:lang w:val="de-DE"/>
        </w:rPr>
      </w:pPr>
      <w:r w:rsidRPr="000F5F21">
        <w:rPr>
          <w:b/>
          <w:sz w:val="23"/>
          <w:szCs w:val="23"/>
          <w:lang w:val="de-DE"/>
        </w:rPr>
        <w:t>Wer ist Franchise-Nehmer der Marke „</w:t>
      </w:r>
      <w:proofErr w:type="spellStart"/>
      <w:r w:rsidRPr="000F5F21">
        <w:rPr>
          <w:b/>
          <w:sz w:val="23"/>
          <w:szCs w:val="23"/>
          <w:lang w:val="de-DE"/>
        </w:rPr>
        <w:t>SuperDrecksKëscht</w:t>
      </w:r>
      <w:proofErr w:type="spellEnd"/>
      <w:r w:rsidRPr="000F5F21">
        <w:rPr>
          <w:b/>
          <w:sz w:val="23"/>
          <w:szCs w:val="23"/>
          <w:lang w:val="de-DE"/>
        </w:rPr>
        <w:t xml:space="preserve">“? </w:t>
      </w:r>
    </w:p>
    <w:p w:rsidR="000F5F21" w:rsidRPr="008C7A21" w:rsidRDefault="000F5F21" w:rsidP="0025479A">
      <w:pPr>
        <w:pStyle w:val="Default"/>
        <w:spacing w:after="22"/>
        <w:ind w:left="720"/>
        <w:rPr>
          <w:sz w:val="22"/>
          <w:szCs w:val="22"/>
          <w:lang w:val="de-DE"/>
        </w:rPr>
      </w:pPr>
      <w:r w:rsidRPr="008C7A21">
        <w:rPr>
          <w:sz w:val="22"/>
          <w:szCs w:val="22"/>
          <w:lang w:val="de-DE"/>
        </w:rPr>
        <w:t xml:space="preserve">In der Analyse </w:t>
      </w:r>
      <w:r w:rsidR="008C7A21">
        <w:rPr>
          <w:sz w:val="22"/>
          <w:szCs w:val="22"/>
          <w:lang w:val="de-DE"/>
        </w:rPr>
        <w:t>des Umweltministeriums, die</w:t>
      </w:r>
      <w:r w:rsidRPr="008C7A21">
        <w:rPr>
          <w:sz w:val="22"/>
          <w:szCs w:val="22"/>
          <w:lang w:val="de-DE"/>
        </w:rPr>
        <w:t xml:space="preserve"> im September 2021 der Abgeordnetenkammer übermittelt wurde, </w:t>
      </w:r>
      <w:r w:rsidR="008C7A21">
        <w:rPr>
          <w:sz w:val="22"/>
          <w:szCs w:val="22"/>
          <w:lang w:val="de-DE"/>
        </w:rPr>
        <w:t xml:space="preserve">ist </w:t>
      </w:r>
      <w:r w:rsidRPr="008C7A21">
        <w:rPr>
          <w:sz w:val="22"/>
          <w:szCs w:val="22"/>
          <w:lang w:val="de-DE"/>
        </w:rPr>
        <w:t>auf den Seiten 73 und 74 die Liste der Franchise-Nehmer</w:t>
      </w:r>
      <w:r w:rsidR="008C7A21">
        <w:rPr>
          <w:sz w:val="22"/>
          <w:szCs w:val="22"/>
          <w:lang w:val="de-DE"/>
        </w:rPr>
        <w:t xml:space="preserve"> nachzulesen. (Der vollständige Bericht ist dieser Pressemitteilung beigefügt.)</w:t>
      </w:r>
      <w:r w:rsidRPr="008C7A21">
        <w:rPr>
          <w:sz w:val="22"/>
          <w:szCs w:val="22"/>
          <w:lang w:val="de-DE"/>
        </w:rPr>
        <w:t xml:space="preserve"> </w:t>
      </w:r>
    </w:p>
    <w:p w:rsidR="000F5F21" w:rsidRPr="008C7A21" w:rsidRDefault="000F5F21" w:rsidP="000F5F21">
      <w:pPr>
        <w:pStyle w:val="Default"/>
        <w:spacing w:after="22"/>
        <w:ind w:left="360"/>
        <w:rPr>
          <w:sz w:val="22"/>
          <w:szCs w:val="22"/>
          <w:lang w:val="de-DE"/>
        </w:rPr>
      </w:pPr>
    </w:p>
    <w:p w:rsidR="001A5980" w:rsidRPr="00C07177" w:rsidRDefault="001A5980" w:rsidP="0025479A">
      <w:pPr>
        <w:pStyle w:val="Default"/>
        <w:numPr>
          <w:ilvl w:val="0"/>
          <w:numId w:val="4"/>
        </w:numPr>
        <w:spacing w:after="22"/>
        <w:rPr>
          <w:b/>
          <w:sz w:val="23"/>
          <w:szCs w:val="23"/>
          <w:lang w:val="de-DE"/>
        </w:rPr>
      </w:pPr>
      <w:r w:rsidRPr="00C07177">
        <w:rPr>
          <w:b/>
          <w:sz w:val="23"/>
          <w:szCs w:val="23"/>
          <w:lang w:val="de-DE"/>
        </w:rPr>
        <w:t xml:space="preserve">Wer ist der Empfänger der durch die SDK-Franchise-Nehmer zu entrichtenden Gebühren? </w:t>
      </w:r>
    </w:p>
    <w:p w:rsidR="00C07177" w:rsidRDefault="00C07177" w:rsidP="00C07177">
      <w:pPr>
        <w:pStyle w:val="Default"/>
        <w:spacing w:after="22"/>
        <w:ind w:left="360"/>
        <w:rPr>
          <w:sz w:val="23"/>
          <w:szCs w:val="23"/>
          <w:lang w:val="de-DE"/>
        </w:rPr>
      </w:pPr>
    </w:p>
    <w:p w:rsidR="000B7B21" w:rsidRPr="008C7A21" w:rsidRDefault="008C7A21" w:rsidP="000B7B21">
      <w:pPr>
        <w:pStyle w:val="Default"/>
        <w:spacing w:after="22"/>
        <w:ind w:left="720"/>
        <w:rPr>
          <w:sz w:val="22"/>
          <w:szCs w:val="22"/>
          <w:lang w:val="de-DE"/>
        </w:rPr>
      </w:pPr>
      <w:r w:rsidRPr="008C7A21">
        <w:rPr>
          <w:sz w:val="22"/>
          <w:szCs w:val="22"/>
          <w:lang w:val="de-DE"/>
        </w:rPr>
        <w:t xml:space="preserve">In der Analyse </w:t>
      </w:r>
      <w:r>
        <w:rPr>
          <w:sz w:val="22"/>
          <w:szCs w:val="22"/>
          <w:lang w:val="de-DE"/>
        </w:rPr>
        <w:t>des Umweltministeriums, die</w:t>
      </w:r>
      <w:r w:rsidRPr="008C7A21">
        <w:rPr>
          <w:sz w:val="22"/>
          <w:szCs w:val="22"/>
          <w:lang w:val="de-DE"/>
        </w:rPr>
        <w:t xml:space="preserve"> im September 2021 der Abgeordnetenkammer übermittelt wurde</w:t>
      </w:r>
      <w:r>
        <w:rPr>
          <w:sz w:val="22"/>
          <w:szCs w:val="22"/>
          <w:lang w:val="de-DE"/>
        </w:rPr>
        <w:t>, wird</w:t>
      </w:r>
      <w:r w:rsidR="00C07177" w:rsidRPr="008C7A21">
        <w:rPr>
          <w:sz w:val="22"/>
          <w:szCs w:val="22"/>
          <w:lang w:val="de-DE"/>
        </w:rPr>
        <w:t xml:space="preserve"> auf Seite 69</w:t>
      </w:r>
      <w:r>
        <w:rPr>
          <w:sz w:val="22"/>
          <w:szCs w:val="22"/>
          <w:lang w:val="de-DE"/>
        </w:rPr>
        <w:t>,</w:t>
      </w:r>
      <w:r w:rsidR="00C07177" w:rsidRPr="008C7A21">
        <w:rPr>
          <w:sz w:val="22"/>
          <w:szCs w:val="22"/>
          <w:lang w:val="de-DE"/>
        </w:rPr>
        <w:t xml:space="preserve"> Punkt 4</w:t>
      </w:r>
      <w:r>
        <w:rPr>
          <w:sz w:val="22"/>
          <w:szCs w:val="22"/>
          <w:lang w:val="de-DE"/>
        </w:rPr>
        <w:t>,</w:t>
      </w:r>
      <w:r w:rsidR="00C07177" w:rsidRPr="008C7A21">
        <w:rPr>
          <w:sz w:val="22"/>
          <w:szCs w:val="22"/>
          <w:lang w:val="de-DE"/>
        </w:rPr>
        <w:t xml:space="preserve"> </w:t>
      </w:r>
      <w:r>
        <w:rPr>
          <w:sz w:val="22"/>
          <w:szCs w:val="22"/>
          <w:lang w:val="de-DE"/>
        </w:rPr>
        <w:t xml:space="preserve">dargelegt, dass </w:t>
      </w:r>
      <w:r w:rsidR="00C07177" w:rsidRPr="008C7A21">
        <w:rPr>
          <w:sz w:val="22"/>
          <w:szCs w:val="22"/>
          <w:lang w:val="de-DE"/>
        </w:rPr>
        <w:t>die Einnahmen durch die Fran</w:t>
      </w:r>
      <w:r w:rsidR="0025479A" w:rsidRPr="008C7A21">
        <w:rPr>
          <w:sz w:val="22"/>
          <w:szCs w:val="22"/>
          <w:lang w:val="de-DE"/>
        </w:rPr>
        <w:t>chisea</w:t>
      </w:r>
      <w:r w:rsidR="00C07177" w:rsidRPr="008C7A21">
        <w:rPr>
          <w:sz w:val="22"/>
          <w:szCs w:val="22"/>
          <w:lang w:val="de-DE"/>
        </w:rPr>
        <w:t>ktivitäten bei der Rechnungsstellung dem Staat gutgeschrieben</w:t>
      </w:r>
      <w:r>
        <w:rPr>
          <w:sz w:val="22"/>
          <w:szCs w:val="22"/>
          <w:lang w:val="de-DE"/>
        </w:rPr>
        <w:t xml:space="preserve"> werden</w:t>
      </w:r>
      <w:r w:rsidR="00C07177" w:rsidRPr="008C7A21">
        <w:rPr>
          <w:sz w:val="22"/>
          <w:szCs w:val="22"/>
          <w:lang w:val="de-DE"/>
        </w:rPr>
        <w:t xml:space="preserve">. </w:t>
      </w:r>
      <w:r w:rsidR="000B7B21">
        <w:rPr>
          <w:sz w:val="22"/>
          <w:szCs w:val="22"/>
          <w:lang w:val="de-DE"/>
        </w:rPr>
        <w:t>Durch die Franchiseaktivitäten</w:t>
      </w:r>
      <w:r w:rsidR="00C07177" w:rsidRPr="008C7A21">
        <w:rPr>
          <w:sz w:val="22"/>
          <w:szCs w:val="22"/>
          <w:lang w:val="de-DE"/>
        </w:rPr>
        <w:t xml:space="preserve"> sinken </w:t>
      </w:r>
      <w:r w:rsidR="000B7B21">
        <w:rPr>
          <w:sz w:val="22"/>
          <w:szCs w:val="22"/>
          <w:lang w:val="de-DE"/>
        </w:rPr>
        <w:t xml:space="preserve">somit in der Summe </w:t>
      </w:r>
      <w:r w:rsidR="00C07177" w:rsidRPr="008C7A21">
        <w:rPr>
          <w:sz w:val="22"/>
          <w:szCs w:val="22"/>
          <w:lang w:val="de-DE"/>
        </w:rPr>
        <w:t xml:space="preserve">die Ausgaben </w:t>
      </w:r>
      <w:r w:rsidR="000B7B21">
        <w:rPr>
          <w:sz w:val="22"/>
          <w:szCs w:val="22"/>
          <w:lang w:val="de-DE"/>
        </w:rPr>
        <w:t xml:space="preserve">des </w:t>
      </w:r>
      <w:r w:rsidR="00C07177" w:rsidRPr="008C7A21">
        <w:rPr>
          <w:sz w:val="22"/>
          <w:szCs w:val="22"/>
          <w:lang w:val="de-DE"/>
        </w:rPr>
        <w:t>Staat</w:t>
      </w:r>
      <w:r w:rsidR="000B7B21">
        <w:rPr>
          <w:sz w:val="22"/>
          <w:szCs w:val="22"/>
          <w:lang w:val="de-DE"/>
        </w:rPr>
        <w:t>es</w:t>
      </w:r>
      <w:r w:rsidR="00C07177" w:rsidRPr="008C7A21">
        <w:rPr>
          <w:sz w:val="22"/>
          <w:szCs w:val="22"/>
          <w:lang w:val="de-DE"/>
        </w:rPr>
        <w:t xml:space="preserve"> für die Aktion </w:t>
      </w:r>
      <w:r w:rsidR="000B7B21">
        <w:rPr>
          <w:sz w:val="22"/>
          <w:szCs w:val="22"/>
          <w:lang w:val="de-DE"/>
        </w:rPr>
        <w:t>der</w:t>
      </w:r>
      <w:r w:rsidR="00C07177" w:rsidRPr="008C7A21">
        <w:rPr>
          <w:sz w:val="22"/>
          <w:szCs w:val="22"/>
          <w:lang w:val="de-DE"/>
        </w:rPr>
        <w:t xml:space="preserve"> </w:t>
      </w:r>
      <w:proofErr w:type="spellStart"/>
      <w:r w:rsidR="00C07177" w:rsidRPr="008C7A21">
        <w:rPr>
          <w:sz w:val="22"/>
          <w:szCs w:val="22"/>
          <w:lang w:val="de-DE"/>
        </w:rPr>
        <w:t>Super</w:t>
      </w:r>
      <w:r w:rsidR="000B7B21">
        <w:rPr>
          <w:sz w:val="22"/>
          <w:szCs w:val="22"/>
          <w:lang w:val="de-DE"/>
        </w:rPr>
        <w:t>D</w:t>
      </w:r>
      <w:r w:rsidR="00C07177" w:rsidRPr="008C7A21">
        <w:rPr>
          <w:sz w:val="22"/>
          <w:szCs w:val="22"/>
          <w:lang w:val="de-DE"/>
        </w:rPr>
        <w:t>recks</w:t>
      </w:r>
      <w:r w:rsidR="000B7B21">
        <w:rPr>
          <w:sz w:val="22"/>
          <w:szCs w:val="22"/>
          <w:lang w:val="de-DE"/>
        </w:rPr>
        <w:t>K</w:t>
      </w:r>
      <w:r w:rsidR="00C07177" w:rsidRPr="008C7A21">
        <w:rPr>
          <w:sz w:val="22"/>
          <w:szCs w:val="22"/>
          <w:lang w:val="de-DE"/>
        </w:rPr>
        <w:t>ëscht</w:t>
      </w:r>
      <w:proofErr w:type="spellEnd"/>
      <w:r w:rsidR="00C07177" w:rsidRPr="008C7A21">
        <w:rPr>
          <w:sz w:val="22"/>
          <w:szCs w:val="22"/>
          <w:lang w:val="de-DE"/>
        </w:rPr>
        <w:t>.</w:t>
      </w:r>
      <w:r w:rsidR="000B7B21">
        <w:rPr>
          <w:sz w:val="22"/>
          <w:szCs w:val="22"/>
          <w:lang w:val="de-DE"/>
        </w:rPr>
        <w:t xml:space="preserve"> (Der vollständige Bericht ist dieser Pressemitteilung beigefügt.)</w:t>
      </w:r>
      <w:r w:rsidR="000B7B21" w:rsidRPr="008C7A21">
        <w:rPr>
          <w:sz w:val="22"/>
          <w:szCs w:val="22"/>
          <w:lang w:val="de-DE"/>
        </w:rPr>
        <w:t xml:space="preserve"> </w:t>
      </w:r>
    </w:p>
    <w:p w:rsidR="00C07177" w:rsidRPr="008C7A21" w:rsidRDefault="00C07177" w:rsidP="0025479A">
      <w:pPr>
        <w:pStyle w:val="Default"/>
        <w:spacing w:after="22"/>
        <w:ind w:left="720"/>
        <w:rPr>
          <w:sz w:val="22"/>
          <w:szCs w:val="22"/>
          <w:lang w:val="de-DE"/>
        </w:rPr>
      </w:pPr>
    </w:p>
    <w:p w:rsidR="00C07177" w:rsidRPr="001A5980" w:rsidRDefault="00C07177" w:rsidP="00C07177">
      <w:pPr>
        <w:pStyle w:val="Default"/>
        <w:spacing w:after="22"/>
        <w:ind w:left="360"/>
        <w:rPr>
          <w:sz w:val="23"/>
          <w:szCs w:val="23"/>
          <w:lang w:val="de-DE"/>
        </w:rPr>
      </w:pPr>
    </w:p>
    <w:p w:rsidR="001A5980" w:rsidRPr="004F3B32" w:rsidRDefault="001A5980" w:rsidP="0025479A">
      <w:pPr>
        <w:pStyle w:val="Default"/>
        <w:numPr>
          <w:ilvl w:val="0"/>
          <w:numId w:val="4"/>
        </w:numPr>
        <w:spacing w:after="22"/>
        <w:rPr>
          <w:b/>
          <w:sz w:val="23"/>
          <w:szCs w:val="23"/>
          <w:lang w:val="de-DE"/>
        </w:rPr>
      </w:pPr>
      <w:r w:rsidRPr="004F3B32">
        <w:rPr>
          <w:b/>
          <w:sz w:val="23"/>
          <w:szCs w:val="23"/>
          <w:lang w:val="de-DE"/>
        </w:rPr>
        <w:t xml:space="preserve">Warum hat der Staat sich nicht die Markenrechte gesichert? </w:t>
      </w:r>
    </w:p>
    <w:p w:rsidR="0025479A" w:rsidRDefault="0025479A" w:rsidP="0025479A">
      <w:pPr>
        <w:pStyle w:val="Default"/>
        <w:spacing w:after="22"/>
        <w:ind w:left="720"/>
        <w:rPr>
          <w:sz w:val="23"/>
          <w:szCs w:val="23"/>
          <w:lang w:val="de-DE"/>
        </w:rPr>
      </w:pPr>
    </w:p>
    <w:p w:rsidR="000B7B21" w:rsidRPr="008C7A21" w:rsidRDefault="0025479A" w:rsidP="000B7B21">
      <w:pPr>
        <w:pStyle w:val="Default"/>
        <w:spacing w:after="22"/>
        <w:ind w:left="720"/>
        <w:rPr>
          <w:sz w:val="22"/>
          <w:szCs w:val="22"/>
          <w:lang w:val="de-DE"/>
        </w:rPr>
      </w:pPr>
      <w:r w:rsidRPr="000B7B21">
        <w:rPr>
          <w:sz w:val="22"/>
          <w:szCs w:val="22"/>
          <w:lang w:val="de-DE"/>
        </w:rPr>
        <w:t xml:space="preserve">In dem Vertrag des Staates Luxemburg mit der Firma </w:t>
      </w:r>
      <w:r w:rsidR="004F3B32" w:rsidRPr="000B7B21">
        <w:rPr>
          <w:sz w:val="22"/>
          <w:szCs w:val="22"/>
          <w:lang w:val="de-DE"/>
        </w:rPr>
        <w:t>OSL, werden dem Staat bereits die Markenrechte zugesichert. Diese Aussage ist auch auf der Seite 81 der Analyse von Septe</w:t>
      </w:r>
      <w:r w:rsidR="000B7B21">
        <w:rPr>
          <w:sz w:val="22"/>
          <w:szCs w:val="22"/>
          <w:lang w:val="de-DE"/>
        </w:rPr>
        <w:t>m</w:t>
      </w:r>
      <w:r w:rsidR="004F3B32" w:rsidRPr="000B7B21">
        <w:rPr>
          <w:sz w:val="22"/>
          <w:szCs w:val="22"/>
          <w:lang w:val="de-DE"/>
        </w:rPr>
        <w:t>ber 2021 zu lesen. Wie von der Analyse vorgeschlagen</w:t>
      </w:r>
      <w:r w:rsidR="00A86FFE">
        <w:rPr>
          <w:sz w:val="22"/>
          <w:szCs w:val="22"/>
          <w:lang w:val="de-DE"/>
        </w:rPr>
        <w:t>,</w:t>
      </w:r>
      <w:r w:rsidR="004F3B32" w:rsidRPr="000B7B21">
        <w:rPr>
          <w:sz w:val="22"/>
          <w:szCs w:val="22"/>
          <w:lang w:val="de-DE"/>
        </w:rPr>
        <w:t xml:space="preserve"> </w:t>
      </w:r>
      <w:r w:rsidR="00A86FFE">
        <w:rPr>
          <w:sz w:val="22"/>
          <w:szCs w:val="22"/>
          <w:lang w:val="de-DE"/>
        </w:rPr>
        <w:t xml:space="preserve">hat das Umweltministerium die Überschreibung der Markenrechte auf den Staat in die Wege geleitet. </w:t>
      </w:r>
      <w:r w:rsidR="004F3B32" w:rsidRPr="000B7B21">
        <w:rPr>
          <w:sz w:val="22"/>
          <w:szCs w:val="22"/>
          <w:lang w:val="de-DE"/>
        </w:rPr>
        <w:t xml:space="preserve"> OSL </w:t>
      </w:r>
      <w:r w:rsidR="00A86FFE">
        <w:rPr>
          <w:sz w:val="22"/>
          <w:szCs w:val="22"/>
          <w:lang w:val="de-DE"/>
        </w:rPr>
        <w:t xml:space="preserve">hat in dem Zusammenhang erste Schritte </w:t>
      </w:r>
      <w:r w:rsidR="008B58AF">
        <w:rPr>
          <w:sz w:val="22"/>
          <w:szCs w:val="22"/>
          <w:lang w:val="de-DE"/>
        </w:rPr>
        <w:t>unter</w:t>
      </w:r>
      <w:r w:rsidR="00A86FFE">
        <w:rPr>
          <w:sz w:val="22"/>
          <w:szCs w:val="22"/>
          <w:lang w:val="de-DE"/>
        </w:rPr>
        <w:t xml:space="preserve">nommen, </w:t>
      </w:r>
      <w:r w:rsidR="004F3B32" w:rsidRPr="000B7B21">
        <w:rPr>
          <w:sz w:val="22"/>
          <w:szCs w:val="22"/>
          <w:lang w:val="de-DE"/>
        </w:rPr>
        <w:t>um die Markenrechte auf den Staat zu übertragen</w:t>
      </w:r>
      <w:r w:rsidR="000B7B21">
        <w:rPr>
          <w:sz w:val="22"/>
          <w:szCs w:val="22"/>
          <w:lang w:val="de-DE"/>
        </w:rPr>
        <w:t>. (Der vollständige Bericht ist dieser Pressemitteilung beigefügt.)</w:t>
      </w:r>
      <w:r w:rsidR="000B7B21" w:rsidRPr="008C7A21">
        <w:rPr>
          <w:sz w:val="22"/>
          <w:szCs w:val="22"/>
          <w:lang w:val="de-DE"/>
        </w:rPr>
        <w:t xml:space="preserve"> </w:t>
      </w:r>
    </w:p>
    <w:p w:rsidR="0025479A" w:rsidRPr="000B7B21" w:rsidRDefault="0025479A" w:rsidP="0025479A">
      <w:pPr>
        <w:pStyle w:val="Default"/>
        <w:spacing w:after="22"/>
        <w:ind w:left="720"/>
        <w:rPr>
          <w:sz w:val="22"/>
          <w:szCs w:val="22"/>
          <w:lang w:val="de-DE"/>
        </w:rPr>
      </w:pPr>
    </w:p>
    <w:p w:rsidR="004F3B32" w:rsidRPr="001A5980" w:rsidRDefault="004F3B32" w:rsidP="0025479A">
      <w:pPr>
        <w:pStyle w:val="Default"/>
        <w:spacing w:after="22"/>
        <w:ind w:left="720"/>
        <w:rPr>
          <w:sz w:val="23"/>
          <w:szCs w:val="23"/>
          <w:lang w:val="de-DE"/>
        </w:rPr>
      </w:pPr>
    </w:p>
    <w:p w:rsidR="001A5980" w:rsidRPr="004F3B32" w:rsidRDefault="001A5980" w:rsidP="004F3B32">
      <w:pPr>
        <w:pStyle w:val="Default"/>
        <w:numPr>
          <w:ilvl w:val="0"/>
          <w:numId w:val="4"/>
        </w:numPr>
        <w:spacing w:after="22"/>
        <w:rPr>
          <w:b/>
          <w:sz w:val="23"/>
          <w:szCs w:val="23"/>
          <w:lang w:val="de-DE"/>
        </w:rPr>
      </w:pPr>
      <w:r w:rsidRPr="004F3B32">
        <w:rPr>
          <w:b/>
          <w:sz w:val="23"/>
          <w:szCs w:val="23"/>
          <w:lang w:val="de-DE"/>
        </w:rPr>
        <w:t>Warum wurde kein „</w:t>
      </w:r>
      <w:proofErr w:type="spellStart"/>
      <w:r w:rsidRPr="004F3B32">
        <w:rPr>
          <w:b/>
          <w:sz w:val="23"/>
          <w:szCs w:val="23"/>
          <w:lang w:val="de-DE"/>
        </w:rPr>
        <w:t>Comité</w:t>
      </w:r>
      <w:proofErr w:type="spellEnd"/>
      <w:r w:rsidRPr="004F3B32">
        <w:rPr>
          <w:b/>
          <w:sz w:val="23"/>
          <w:szCs w:val="23"/>
          <w:lang w:val="de-DE"/>
        </w:rPr>
        <w:t xml:space="preserve"> </w:t>
      </w:r>
      <w:proofErr w:type="spellStart"/>
      <w:r w:rsidRPr="004F3B32">
        <w:rPr>
          <w:b/>
          <w:sz w:val="23"/>
          <w:szCs w:val="23"/>
          <w:lang w:val="de-DE"/>
        </w:rPr>
        <w:t>d’accompagnement</w:t>
      </w:r>
      <w:proofErr w:type="spellEnd"/>
      <w:r w:rsidRPr="004F3B32">
        <w:rPr>
          <w:b/>
          <w:sz w:val="23"/>
          <w:szCs w:val="23"/>
          <w:lang w:val="de-DE"/>
        </w:rPr>
        <w:t>“ für die „</w:t>
      </w:r>
      <w:proofErr w:type="spellStart"/>
      <w:r w:rsidRPr="004F3B32">
        <w:rPr>
          <w:b/>
          <w:sz w:val="23"/>
          <w:szCs w:val="23"/>
          <w:lang w:val="de-DE"/>
        </w:rPr>
        <w:t>SuperDrecksKëscht</w:t>
      </w:r>
      <w:proofErr w:type="spellEnd"/>
      <w:r w:rsidRPr="004F3B32">
        <w:rPr>
          <w:b/>
          <w:sz w:val="23"/>
          <w:szCs w:val="23"/>
          <w:lang w:val="de-DE"/>
        </w:rPr>
        <w:t xml:space="preserve">“ eingesetzt? </w:t>
      </w:r>
    </w:p>
    <w:p w:rsidR="004F3B32" w:rsidRDefault="004F3B32" w:rsidP="004F3B32">
      <w:pPr>
        <w:pStyle w:val="Default"/>
        <w:spacing w:after="22"/>
        <w:ind w:left="720"/>
        <w:rPr>
          <w:sz w:val="23"/>
          <w:szCs w:val="23"/>
          <w:lang w:val="de-DE"/>
        </w:rPr>
      </w:pPr>
    </w:p>
    <w:p w:rsidR="00B028DA" w:rsidRPr="00F724B7" w:rsidRDefault="004F3B32" w:rsidP="00775C90">
      <w:pPr>
        <w:pStyle w:val="Default"/>
        <w:spacing w:after="22"/>
        <w:ind w:left="720"/>
        <w:jc w:val="both"/>
        <w:rPr>
          <w:sz w:val="22"/>
          <w:szCs w:val="22"/>
          <w:lang w:val="de-DE"/>
        </w:rPr>
      </w:pPr>
      <w:r w:rsidRPr="00F724B7">
        <w:rPr>
          <w:sz w:val="22"/>
          <w:szCs w:val="22"/>
          <w:lang w:val="de-DE"/>
        </w:rPr>
        <w:t xml:space="preserve">Das </w:t>
      </w:r>
      <w:proofErr w:type="spellStart"/>
      <w:r w:rsidRPr="00F724B7">
        <w:rPr>
          <w:sz w:val="22"/>
          <w:szCs w:val="22"/>
          <w:lang w:val="de-DE"/>
        </w:rPr>
        <w:t>Comité</w:t>
      </w:r>
      <w:proofErr w:type="spellEnd"/>
      <w:r w:rsidRPr="00F724B7">
        <w:rPr>
          <w:sz w:val="22"/>
          <w:szCs w:val="22"/>
          <w:lang w:val="de-DE"/>
        </w:rPr>
        <w:t xml:space="preserve"> </w:t>
      </w:r>
      <w:proofErr w:type="spellStart"/>
      <w:r w:rsidRPr="00F724B7">
        <w:rPr>
          <w:sz w:val="22"/>
          <w:szCs w:val="22"/>
          <w:lang w:val="de-DE"/>
        </w:rPr>
        <w:t>d’accompagnement</w:t>
      </w:r>
      <w:proofErr w:type="spellEnd"/>
      <w:r w:rsidRPr="00F724B7">
        <w:rPr>
          <w:sz w:val="22"/>
          <w:szCs w:val="22"/>
          <w:lang w:val="de-DE"/>
        </w:rPr>
        <w:t xml:space="preserve"> wurde in den 2000</w:t>
      </w:r>
      <w:r w:rsidR="000B7B21" w:rsidRPr="00F724B7">
        <w:rPr>
          <w:sz w:val="22"/>
          <w:szCs w:val="22"/>
          <w:lang w:val="de-DE"/>
        </w:rPr>
        <w:t>-</w:t>
      </w:r>
      <w:r w:rsidRPr="00F724B7">
        <w:rPr>
          <w:sz w:val="22"/>
          <w:szCs w:val="22"/>
          <w:lang w:val="de-DE"/>
        </w:rPr>
        <w:t>Jahre</w:t>
      </w:r>
      <w:r w:rsidR="000B7B21" w:rsidRPr="00F724B7">
        <w:rPr>
          <w:sz w:val="22"/>
          <w:szCs w:val="22"/>
          <w:lang w:val="de-DE"/>
        </w:rPr>
        <w:t>n</w:t>
      </w:r>
      <w:r w:rsidRPr="00F724B7">
        <w:rPr>
          <w:sz w:val="22"/>
          <w:szCs w:val="22"/>
          <w:lang w:val="de-DE"/>
        </w:rPr>
        <w:t xml:space="preserve"> eingesetzt</w:t>
      </w:r>
      <w:r w:rsidR="000B7B21" w:rsidRPr="00F724B7">
        <w:rPr>
          <w:sz w:val="22"/>
          <w:szCs w:val="22"/>
          <w:lang w:val="de-DE"/>
        </w:rPr>
        <w:t>,</w:t>
      </w:r>
      <w:r w:rsidRPr="00F724B7">
        <w:rPr>
          <w:sz w:val="22"/>
          <w:szCs w:val="22"/>
          <w:lang w:val="de-DE"/>
        </w:rPr>
        <w:t xml:space="preserve"> um die Finanzierung </w:t>
      </w:r>
      <w:proofErr w:type="gramStart"/>
      <w:r w:rsidRPr="00F724B7">
        <w:rPr>
          <w:sz w:val="22"/>
          <w:szCs w:val="22"/>
          <w:lang w:val="de-DE"/>
        </w:rPr>
        <w:t>der  Aktion</w:t>
      </w:r>
      <w:proofErr w:type="gramEnd"/>
      <w:r w:rsidRPr="00F724B7">
        <w:rPr>
          <w:sz w:val="22"/>
          <w:szCs w:val="22"/>
          <w:lang w:val="de-DE"/>
        </w:rPr>
        <w:t xml:space="preserve"> </w:t>
      </w:r>
      <w:proofErr w:type="spellStart"/>
      <w:r w:rsidRPr="00F724B7">
        <w:rPr>
          <w:sz w:val="22"/>
          <w:szCs w:val="22"/>
          <w:lang w:val="de-DE"/>
        </w:rPr>
        <w:t>S</w:t>
      </w:r>
      <w:r w:rsidR="000B7B21" w:rsidRPr="00F724B7">
        <w:rPr>
          <w:sz w:val="22"/>
          <w:szCs w:val="22"/>
          <w:lang w:val="de-DE"/>
        </w:rPr>
        <w:t>uper</w:t>
      </w:r>
      <w:r w:rsidRPr="00F724B7">
        <w:rPr>
          <w:sz w:val="22"/>
          <w:szCs w:val="22"/>
          <w:lang w:val="de-DE"/>
        </w:rPr>
        <w:t>D</w:t>
      </w:r>
      <w:r w:rsidR="000B7B21" w:rsidRPr="00F724B7">
        <w:rPr>
          <w:sz w:val="22"/>
          <w:szCs w:val="22"/>
          <w:lang w:val="de-DE"/>
        </w:rPr>
        <w:t>recks</w:t>
      </w:r>
      <w:r w:rsidRPr="00F724B7">
        <w:rPr>
          <w:sz w:val="22"/>
          <w:szCs w:val="22"/>
          <w:lang w:val="de-DE"/>
        </w:rPr>
        <w:t>K</w:t>
      </w:r>
      <w:r w:rsidR="000B7B21" w:rsidRPr="00F724B7">
        <w:rPr>
          <w:sz w:val="22"/>
          <w:szCs w:val="22"/>
          <w:lang w:val="de-DE"/>
        </w:rPr>
        <w:t>ëscht</w:t>
      </w:r>
      <w:proofErr w:type="spellEnd"/>
      <w:r w:rsidRPr="00F724B7">
        <w:rPr>
          <w:sz w:val="22"/>
          <w:szCs w:val="22"/>
          <w:lang w:val="de-DE"/>
        </w:rPr>
        <w:t xml:space="preserve"> zu </w:t>
      </w:r>
      <w:r w:rsidR="00775C90" w:rsidRPr="00F724B7">
        <w:rPr>
          <w:sz w:val="22"/>
          <w:szCs w:val="22"/>
          <w:lang w:val="de-DE"/>
        </w:rPr>
        <w:t>analysieren</w:t>
      </w:r>
      <w:r w:rsidRPr="00F724B7">
        <w:rPr>
          <w:sz w:val="22"/>
          <w:szCs w:val="22"/>
          <w:lang w:val="de-DE"/>
        </w:rPr>
        <w:t xml:space="preserve"> und Vorschläge zu unterbreiten</w:t>
      </w:r>
      <w:r w:rsidR="000B7B21" w:rsidRPr="00F724B7">
        <w:rPr>
          <w:sz w:val="22"/>
          <w:szCs w:val="22"/>
          <w:lang w:val="de-DE"/>
        </w:rPr>
        <w:t>,</w:t>
      </w:r>
      <w:r w:rsidRPr="00F724B7">
        <w:rPr>
          <w:sz w:val="22"/>
          <w:szCs w:val="22"/>
          <w:lang w:val="de-DE"/>
        </w:rPr>
        <w:t xml:space="preserve"> wie die Finanzierung und A</w:t>
      </w:r>
      <w:r w:rsidR="00775C90" w:rsidRPr="00F724B7">
        <w:rPr>
          <w:sz w:val="22"/>
          <w:szCs w:val="22"/>
          <w:lang w:val="de-DE"/>
        </w:rPr>
        <w:t>usführung der Aktion gesich</w:t>
      </w:r>
      <w:r w:rsidRPr="00F724B7">
        <w:rPr>
          <w:sz w:val="22"/>
          <w:szCs w:val="22"/>
          <w:lang w:val="de-DE"/>
        </w:rPr>
        <w:t>ert werden kann. Aus diesen Überlegungen entstand das Finanzierungsgesetz von 2005</w:t>
      </w:r>
      <w:r w:rsidR="000B7B21" w:rsidRPr="00F724B7">
        <w:rPr>
          <w:sz w:val="22"/>
          <w:szCs w:val="22"/>
          <w:lang w:val="de-DE"/>
        </w:rPr>
        <w:t>,</w:t>
      </w:r>
      <w:r w:rsidRPr="00F724B7">
        <w:rPr>
          <w:sz w:val="22"/>
          <w:szCs w:val="22"/>
          <w:lang w:val="de-DE"/>
        </w:rPr>
        <w:t xml:space="preserve"> unter </w:t>
      </w:r>
      <w:r w:rsidR="00CE4D48" w:rsidRPr="00F724B7">
        <w:rPr>
          <w:sz w:val="22"/>
          <w:szCs w:val="22"/>
          <w:lang w:val="de-DE"/>
        </w:rPr>
        <w:t xml:space="preserve">der </w:t>
      </w:r>
      <w:r w:rsidR="000B7B21" w:rsidRPr="00F724B7">
        <w:rPr>
          <w:sz w:val="22"/>
          <w:szCs w:val="22"/>
          <w:lang w:val="de-DE"/>
        </w:rPr>
        <w:t xml:space="preserve">damaligen </w:t>
      </w:r>
      <w:r w:rsidR="00CE4D48" w:rsidRPr="00F724B7">
        <w:rPr>
          <w:sz w:val="22"/>
          <w:szCs w:val="22"/>
          <w:lang w:val="de-DE"/>
        </w:rPr>
        <w:t>Ansicht</w:t>
      </w:r>
      <w:r w:rsidR="000B7B21" w:rsidRPr="00F724B7">
        <w:rPr>
          <w:sz w:val="22"/>
          <w:szCs w:val="22"/>
          <w:lang w:val="de-DE"/>
        </w:rPr>
        <w:t xml:space="preserve"> der CSV-LSAP-Koalition,</w:t>
      </w:r>
      <w:r w:rsidR="00CE4D48" w:rsidRPr="00F724B7">
        <w:rPr>
          <w:sz w:val="22"/>
          <w:szCs w:val="22"/>
          <w:lang w:val="de-DE"/>
        </w:rPr>
        <w:t xml:space="preserve"> dass dieses Gesetz die Finanzierung absichert</w:t>
      </w:r>
      <w:r w:rsidRPr="00F724B7">
        <w:rPr>
          <w:sz w:val="22"/>
          <w:szCs w:val="22"/>
          <w:lang w:val="de-DE"/>
        </w:rPr>
        <w:t xml:space="preserve">. </w:t>
      </w:r>
    </w:p>
    <w:p w:rsidR="00B028DA" w:rsidRPr="00F724B7" w:rsidRDefault="00B028DA" w:rsidP="00775C90">
      <w:pPr>
        <w:pStyle w:val="Default"/>
        <w:spacing w:after="22"/>
        <w:ind w:left="720"/>
        <w:jc w:val="both"/>
        <w:rPr>
          <w:sz w:val="22"/>
          <w:szCs w:val="22"/>
          <w:lang w:val="de-DE"/>
        </w:rPr>
      </w:pPr>
    </w:p>
    <w:p w:rsidR="004F3B32" w:rsidRPr="00F724B7" w:rsidRDefault="000B7B21" w:rsidP="00775C90">
      <w:pPr>
        <w:pStyle w:val="Default"/>
        <w:spacing w:after="22"/>
        <w:ind w:left="720"/>
        <w:jc w:val="both"/>
        <w:rPr>
          <w:sz w:val="22"/>
          <w:szCs w:val="22"/>
          <w:lang w:val="de-DE"/>
        </w:rPr>
      </w:pPr>
      <w:r w:rsidRPr="00F724B7">
        <w:rPr>
          <w:sz w:val="22"/>
          <w:szCs w:val="22"/>
          <w:lang w:val="de-DE"/>
        </w:rPr>
        <w:t xml:space="preserve">In der Folge wurde das </w:t>
      </w:r>
      <w:proofErr w:type="spellStart"/>
      <w:r w:rsidRPr="00F724B7">
        <w:rPr>
          <w:sz w:val="22"/>
          <w:szCs w:val="22"/>
          <w:lang w:val="de-DE"/>
        </w:rPr>
        <w:t>Comité</w:t>
      </w:r>
      <w:proofErr w:type="spellEnd"/>
      <w:r w:rsidRPr="00F724B7">
        <w:rPr>
          <w:sz w:val="22"/>
          <w:szCs w:val="22"/>
          <w:lang w:val="de-DE"/>
        </w:rPr>
        <w:t xml:space="preserve"> </w:t>
      </w:r>
      <w:proofErr w:type="spellStart"/>
      <w:r w:rsidRPr="00F724B7">
        <w:rPr>
          <w:sz w:val="22"/>
          <w:szCs w:val="22"/>
          <w:lang w:val="de-DE"/>
        </w:rPr>
        <w:t>d’accompagnement</w:t>
      </w:r>
      <w:proofErr w:type="spellEnd"/>
      <w:r w:rsidRPr="00F724B7">
        <w:rPr>
          <w:sz w:val="22"/>
          <w:szCs w:val="22"/>
          <w:lang w:val="de-DE"/>
        </w:rPr>
        <w:t xml:space="preserve"> von der CSV-geführten Regierung </w:t>
      </w:r>
      <w:r w:rsidR="00A86FFE" w:rsidRPr="00F724B7">
        <w:rPr>
          <w:sz w:val="22"/>
          <w:szCs w:val="22"/>
          <w:lang w:val="de-DE"/>
        </w:rPr>
        <w:t xml:space="preserve">nicht </w:t>
      </w:r>
      <w:r w:rsidRPr="00F724B7">
        <w:rPr>
          <w:sz w:val="22"/>
          <w:szCs w:val="22"/>
          <w:lang w:val="de-DE"/>
        </w:rPr>
        <w:t xml:space="preserve">wieder </w:t>
      </w:r>
      <w:r w:rsidR="00A86FFE" w:rsidRPr="00F724B7">
        <w:rPr>
          <w:sz w:val="22"/>
          <w:szCs w:val="22"/>
          <w:lang w:val="de-DE"/>
        </w:rPr>
        <w:t>neu besetzt</w:t>
      </w:r>
      <w:r w:rsidRPr="00F724B7">
        <w:rPr>
          <w:sz w:val="22"/>
          <w:szCs w:val="22"/>
          <w:lang w:val="de-DE"/>
        </w:rPr>
        <w:t>. Auf Anregen von Umweltministerin Carole Dieschbourg, und aufbauend auf die Feststellungen der von ihr in Auftrag gegeb</w:t>
      </w:r>
      <w:r w:rsidR="00A330CB" w:rsidRPr="00F724B7">
        <w:rPr>
          <w:sz w:val="22"/>
          <w:szCs w:val="22"/>
          <w:lang w:val="de-DE"/>
        </w:rPr>
        <w:t xml:space="preserve">enen Analyse, </w:t>
      </w:r>
      <w:r w:rsidRPr="00F724B7">
        <w:rPr>
          <w:sz w:val="22"/>
          <w:szCs w:val="22"/>
          <w:lang w:val="de-DE"/>
        </w:rPr>
        <w:t xml:space="preserve">wurde das Gremium mit dem </w:t>
      </w:r>
      <w:proofErr w:type="spellStart"/>
      <w:r w:rsidRPr="00F724B7">
        <w:rPr>
          <w:sz w:val="22"/>
          <w:szCs w:val="22"/>
          <w:lang w:val="de-DE"/>
        </w:rPr>
        <w:t>Arrêté</w:t>
      </w:r>
      <w:proofErr w:type="spellEnd"/>
      <w:r w:rsidRPr="00F724B7">
        <w:rPr>
          <w:sz w:val="22"/>
          <w:szCs w:val="22"/>
          <w:lang w:val="de-DE"/>
        </w:rPr>
        <w:t xml:space="preserve"> vom 19</w:t>
      </w:r>
      <w:r w:rsidR="00A86FFE" w:rsidRPr="00F724B7">
        <w:rPr>
          <w:sz w:val="22"/>
          <w:szCs w:val="22"/>
          <w:lang w:val="de-DE"/>
        </w:rPr>
        <w:t>.</w:t>
      </w:r>
      <w:r w:rsidRPr="00F724B7">
        <w:rPr>
          <w:sz w:val="22"/>
          <w:szCs w:val="22"/>
          <w:lang w:val="de-DE"/>
        </w:rPr>
        <w:t xml:space="preserve"> November 2021 </w:t>
      </w:r>
      <w:r w:rsidR="00A330CB" w:rsidRPr="00F724B7">
        <w:rPr>
          <w:sz w:val="22"/>
          <w:szCs w:val="22"/>
          <w:lang w:val="de-DE"/>
        </w:rPr>
        <w:t xml:space="preserve">wieder eingeführt und </w:t>
      </w:r>
      <w:r w:rsidRPr="00F724B7">
        <w:rPr>
          <w:sz w:val="22"/>
          <w:szCs w:val="22"/>
          <w:lang w:val="de-DE"/>
        </w:rPr>
        <w:t>neu besetzt</w:t>
      </w:r>
      <w:r w:rsidR="00A330CB" w:rsidRPr="00F724B7">
        <w:rPr>
          <w:sz w:val="22"/>
          <w:szCs w:val="22"/>
          <w:lang w:val="de-DE"/>
        </w:rPr>
        <w:t>.</w:t>
      </w:r>
      <w:r w:rsidRPr="00F724B7">
        <w:rPr>
          <w:sz w:val="22"/>
          <w:szCs w:val="22"/>
          <w:lang w:val="de-DE"/>
        </w:rPr>
        <w:t xml:space="preserve"> </w:t>
      </w:r>
    </w:p>
    <w:p w:rsidR="00C07177" w:rsidRPr="001A5980" w:rsidRDefault="00C07177" w:rsidP="001A5980">
      <w:pPr>
        <w:pStyle w:val="Default"/>
        <w:spacing w:after="22"/>
        <w:rPr>
          <w:sz w:val="23"/>
          <w:szCs w:val="23"/>
          <w:lang w:val="de-DE"/>
        </w:rPr>
      </w:pPr>
    </w:p>
    <w:p w:rsidR="001A5980" w:rsidRPr="00775C90" w:rsidRDefault="001A5980" w:rsidP="00A330CB">
      <w:pPr>
        <w:pStyle w:val="Default"/>
        <w:ind w:left="720"/>
        <w:rPr>
          <w:b/>
          <w:sz w:val="23"/>
          <w:szCs w:val="23"/>
          <w:lang w:val="de-DE"/>
        </w:rPr>
      </w:pPr>
      <w:r w:rsidRPr="00775C90">
        <w:rPr>
          <w:b/>
          <w:sz w:val="23"/>
          <w:szCs w:val="23"/>
          <w:lang w:val="de-DE"/>
        </w:rPr>
        <w:t>10. Wie kam es zu der Einstellung des Sohnes des Direktors de</w:t>
      </w:r>
      <w:r w:rsidR="00775C90">
        <w:rPr>
          <w:b/>
          <w:sz w:val="23"/>
          <w:szCs w:val="23"/>
          <w:lang w:val="de-DE"/>
        </w:rPr>
        <w:t xml:space="preserve">r Umweltverwaltung als Direktor </w:t>
      </w:r>
      <w:r w:rsidRPr="00775C90">
        <w:rPr>
          <w:b/>
          <w:sz w:val="23"/>
          <w:szCs w:val="23"/>
          <w:lang w:val="de-DE"/>
        </w:rPr>
        <w:t xml:space="preserve">der SDK-Akademie? </w:t>
      </w:r>
    </w:p>
    <w:p w:rsidR="00C07177" w:rsidRDefault="00C07177" w:rsidP="00C07177">
      <w:pPr>
        <w:rPr>
          <w:lang w:val="de-DE"/>
        </w:rPr>
      </w:pPr>
    </w:p>
    <w:p w:rsidR="00A330CB" w:rsidRPr="00F724B7" w:rsidRDefault="00C07177" w:rsidP="00A330CB">
      <w:pPr>
        <w:pStyle w:val="Default"/>
        <w:spacing w:after="22"/>
        <w:ind w:left="720"/>
        <w:rPr>
          <w:sz w:val="22"/>
          <w:szCs w:val="22"/>
          <w:lang w:val="de-DE"/>
        </w:rPr>
      </w:pPr>
      <w:r w:rsidRPr="00F724B7">
        <w:rPr>
          <w:sz w:val="22"/>
          <w:szCs w:val="22"/>
          <w:lang w:val="de-DE"/>
        </w:rPr>
        <w:t xml:space="preserve">Die Einstellungsprozedur ist </w:t>
      </w:r>
      <w:r w:rsidR="00A86FFE" w:rsidRPr="00F724B7">
        <w:rPr>
          <w:sz w:val="22"/>
          <w:szCs w:val="22"/>
          <w:lang w:val="de-DE"/>
        </w:rPr>
        <w:t xml:space="preserve">im </w:t>
      </w:r>
      <w:r w:rsidRPr="00F724B7">
        <w:rPr>
          <w:sz w:val="22"/>
          <w:szCs w:val="22"/>
          <w:lang w:val="de-DE"/>
        </w:rPr>
        <w:t xml:space="preserve">Bericht </w:t>
      </w:r>
      <w:r w:rsidR="00A330CB" w:rsidRPr="00F724B7">
        <w:rPr>
          <w:sz w:val="22"/>
          <w:szCs w:val="22"/>
          <w:lang w:val="de-DE"/>
        </w:rPr>
        <w:t>der vom Umwel</w:t>
      </w:r>
      <w:r w:rsidR="008B58AF" w:rsidRPr="00F724B7">
        <w:rPr>
          <w:sz w:val="22"/>
          <w:szCs w:val="22"/>
          <w:lang w:val="de-DE"/>
        </w:rPr>
        <w:t>t</w:t>
      </w:r>
      <w:r w:rsidR="00A330CB" w:rsidRPr="00F724B7">
        <w:rPr>
          <w:sz w:val="22"/>
          <w:szCs w:val="22"/>
          <w:lang w:val="de-DE"/>
        </w:rPr>
        <w:t xml:space="preserve">ministerium in Auftrag gegebenen Analyse </w:t>
      </w:r>
      <w:r w:rsidRPr="00F724B7">
        <w:rPr>
          <w:sz w:val="22"/>
          <w:szCs w:val="22"/>
          <w:lang w:val="de-DE"/>
        </w:rPr>
        <w:t>beschrieben.</w:t>
      </w:r>
      <w:r w:rsidR="00A330CB" w:rsidRPr="00F724B7">
        <w:rPr>
          <w:sz w:val="22"/>
          <w:szCs w:val="22"/>
          <w:lang w:val="de-DE"/>
        </w:rPr>
        <w:t xml:space="preserve"> (Der vollständige Bericht ist dieser Pressemitteilung beigefügt.) </w:t>
      </w:r>
      <w:r w:rsidR="00A86FFE" w:rsidRPr="00F724B7">
        <w:rPr>
          <w:sz w:val="22"/>
          <w:szCs w:val="22"/>
          <w:lang w:val="de-DE"/>
        </w:rPr>
        <w:t xml:space="preserve">Die Einstellung </w:t>
      </w:r>
      <w:r w:rsidR="000321C1" w:rsidRPr="00F724B7">
        <w:rPr>
          <w:sz w:val="22"/>
          <w:szCs w:val="22"/>
          <w:lang w:val="de-DE"/>
        </w:rPr>
        <w:t>des</w:t>
      </w:r>
      <w:r w:rsidR="00A86FFE" w:rsidRPr="00F724B7">
        <w:rPr>
          <w:sz w:val="22"/>
          <w:szCs w:val="22"/>
          <w:lang w:val="de-DE"/>
        </w:rPr>
        <w:t xml:space="preserve"> </w:t>
      </w:r>
      <w:r w:rsidR="000321C1" w:rsidRPr="00F724B7">
        <w:rPr>
          <w:sz w:val="22"/>
          <w:szCs w:val="22"/>
          <w:lang w:val="de-DE"/>
        </w:rPr>
        <w:t xml:space="preserve">genannten </w:t>
      </w:r>
      <w:r w:rsidR="00A86FFE" w:rsidRPr="00F724B7">
        <w:rPr>
          <w:sz w:val="22"/>
          <w:szCs w:val="22"/>
          <w:lang w:val="de-DE"/>
        </w:rPr>
        <w:t>Mitarbeiter</w:t>
      </w:r>
      <w:r w:rsidR="000321C1" w:rsidRPr="00F724B7">
        <w:rPr>
          <w:sz w:val="22"/>
          <w:szCs w:val="22"/>
          <w:lang w:val="de-DE"/>
        </w:rPr>
        <w:t>s</w:t>
      </w:r>
      <w:r w:rsidR="00A86FFE" w:rsidRPr="00F724B7">
        <w:rPr>
          <w:sz w:val="22"/>
          <w:szCs w:val="22"/>
          <w:lang w:val="de-DE"/>
        </w:rPr>
        <w:t xml:space="preserve"> betrifft in diesem Fall </w:t>
      </w:r>
      <w:r w:rsidR="000321C1" w:rsidRPr="00F724B7">
        <w:rPr>
          <w:sz w:val="22"/>
          <w:szCs w:val="22"/>
          <w:lang w:val="de-DE"/>
        </w:rPr>
        <w:t xml:space="preserve">ein Arbeitsverhältnis in einer privaten Firma. Für Privatfirmen besteht keine Verpflichtung, Stellen öffentlich auszuschreiben. </w:t>
      </w:r>
    </w:p>
    <w:p w:rsidR="00A330CB" w:rsidRPr="00A330CB" w:rsidRDefault="00A330CB" w:rsidP="00A330CB">
      <w:pPr>
        <w:pStyle w:val="Default"/>
        <w:spacing w:after="22"/>
        <w:ind w:left="720"/>
        <w:rPr>
          <w:sz w:val="22"/>
          <w:szCs w:val="22"/>
          <w:lang w:val="de-DE"/>
        </w:rPr>
      </w:pPr>
    </w:p>
    <w:p w:rsidR="00C07177" w:rsidRPr="001A5980" w:rsidRDefault="00C07177" w:rsidP="001A5980">
      <w:pPr>
        <w:pStyle w:val="Default"/>
        <w:rPr>
          <w:sz w:val="23"/>
          <w:szCs w:val="23"/>
          <w:lang w:val="de-DE"/>
        </w:rPr>
      </w:pPr>
    </w:p>
    <w:p w:rsidR="000D1F09" w:rsidRPr="001A5980" w:rsidRDefault="000D1F09">
      <w:pPr>
        <w:rPr>
          <w:lang w:val="de-DE"/>
        </w:rPr>
      </w:pPr>
    </w:p>
    <w:sectPr w:rsidR="000D1F09" w:rsidRPr="001A5980" w:rsidSect="000D1F09">
      <w:pgSz w:w="11906" w:h="17338"/>
      <w:pgMar w:top="965" w:right="1033" w:bottom="652" w:left="9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E60"/>
    <w:multiLevelType w:val="hybridMultilevel"/>
    <w:tmpl w:val="AE4C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E35"/>
    <w:multiLevelType w:val="hybridMultilevel"/>
    <w:tmpl w:val="A898622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BB6E1B"/>
    <w:multiLevelType w:val="hybridMultilevel"/>
    <w:tmpl w:val="F5FA1A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97839"/>
    <w:multiLevelType w:val="hybridMultilevel"/>
    <w:tmpl w:val="B178E8E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80"/>
    <w:rsid w:val="00017D87"/>
    <w:rsid w:val="000321C1"/>
    <w:rsid w:val="000B7B21"/>
    <w:rsid w:val="000D1F09"/>
    <w:rsid w:val="000D5EEE"/>
    <w:rsid w:val="000F5F21"/>
    <w:rsid w:val="00117174"/>
    <w:rsid w:val="001A5980"/>
    <w:rsid w:val="0025479A"/>
    <w:rsid w:val="002A772D"/>
    <w:rsid w:val="00482149"/>
    <w:rsid w:val="004F3B32"/>
    <w:rsid w:val="00584542"/>
    <w:rsid w:val="005874E2"/>
    <w:rsid w:val="0060558D"/>
    <w:rsid w:val="00680829"/>
    <w:rsid w:val="006C013B"/>
    <w:rsid w:val="00715701"/>
    <w:rsid w:val="00746F2F"/>
    <w:rsid w:val="00775C90"/>
    <w:rsid w:val="00884AD5"/>
    <w:rsid w:val="008A7EAF"/>
    <w:rsid w:val="008B58AF"/>
    <w:rsid w:val="008C7A21"/>
    <w:rsid w:val="00A330CB"/>
    <w:rsid w:val="00A86FFE"/>
    <w:rsid w:val="00B028DA"/>
    <w:rsid w:val="00B16CFF"/>
    <w:rsid w:val="00B40749"/>
    <w:rsid w:val="00C07177"/>
    <w:rsid w:val="00C75CB2"/>
    <w:rsid w:val="00C77EF6"/>
    <w:rsid w:val="00C81330"/>
    <w:rsid w:val="00CE4D48"/>
    <w:rsid w:val="00D92A2A"/>
    <w:rsid w:val="00E24DC0"/>
    <w:rsid w:val="00E46FDA"/>
    <w:rsid w:val="00E57398"/>
    <w:rsid w:val="00E64AD7"/>
    <w:rsid w:val="00F7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205"/>
  <w15:chartTrackingRefBased/>
  <w15:docId w15:val="{D5F28897-2F56-460A-A216-B624C1E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9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6CFF"/>
    <w:pPr>
      <w:ind w:left="720"/>
      <w:contextualSpacing/>
    </w:pPr>
  </w:style>
  <w:style w:type="paragraph" w:styleId="BalloonText">
    <w:name w:val="Balloon Text"/>
    <w:basedOn w:val="Normal"/>
    <w:link w:val="BalloonTextChar"/>
    <w:uiPriority w:val="99"/>
    <w:semiHidden/>
    <w:unhideWhenUsed/>
    <w:rsid w:val="00E6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10A18-06D8-48C4-A9A8-FD3A0D20D41F}">
  <ds:schemaRefs>
    <ds:schemaRef ds:uri="http://schemas.openxmlformats.org/officeDocument/2006/bibliography"/>
  </ds:schemaRefs>
</ds:datastoreItem>
</file>

<file path=customXml/itemProps2.xml><?xml version="1.0" encoding="utf-8"?>
<ds:datastoreItem xmlns:ds="http://schemas.openxmlformats.org/officeDocument/2006/customXml" ds:itemID="{D08DE950-C72B-4C86-BFF1-A004EE2EC9AE}"/>
</file>

<file path=customXml/itemProps3.xml><?xml version="1.0" encoding="utf-8"?>
<ds:datastoreItem xmlns:ds="http://schemas.openxmlformats.org/officeDocument/2006/customXml" ds:itemID="{608F00BA-1ED7-490F-B99F-EA8EA9E29E0E}"/>
</file>

<file path=customXml/itemProps4.xml><?xml version="1.0" encoding="utf-8"?>
<ds:datastoreItem xmlns:ds="http://schemas.openxmlformats.org/officeDocument/2006/customXml" ds:itemID="{60037F33-654D-4037-BF1F-ABA155604C25}"/>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Rasque</dc:creator>
  <cp:keywords/>
  <dc:description/>
  <cp:lastModifiedBy>Monica Duarte</cp:lastModifiedBy>
  <cp:revision>2</cp:revision>
  <cp:lastPrinted>2022-01-17T11:28:00Z</cp:lastPrinted>
  <dcterms:created xsi:type="dcterms:W3CDTF">2022-01-17T17:47:00Z</dcterms:created>
  <dcterms:modified xsi:type="dcterms:W3CDTF">2022-01-17T17:47:00Z</dcterms:modified>
</cp:coreProperties>
</file>